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珠海市斗门区202</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6</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-20</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30</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年异地务工人员随迁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子女积分入学办法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征求意见稿</w:t>
      </w:r>
      <w:r>
        <w:rPr>
          <w:rFonts w:hint="eastAsia" w:ascii="仿宋_GB2312" w:hAnsi="仿宋_GB2312" w:eastAsia="仿宋_GB2312" w:cs="仿宋_GB2312"/>
          <w:color w:val="000000" w:themeColor="text1"/>
          <w:sz w:val="32"/>
          <w:szCs w:val="32"/>
          <w14:textFill>
            <w14:solidFill>
              <w14:schemeClr w14:val="tx1"/>
            </w14:solidFill>
          </w14:textFill>
        </w:rPr>
        <w:t>）</w:t>
      </w:r>
    </w:p>
    <w:p>
      <w:pPr>
        <w:jc w:val="center"/>
        <w:rPr>
          <w:rFonts w:hint="eastAsia"/>
          <w:color w:val="000000" w:themeColor="text1"/>
          <w:sz w:val="32"/>
          <w:szCs w:val="32"/>
          <w14:textFill>
            <w14:solidFill>
              <w14:schemeClr w14:val="tx1"/>
            </w14:solidFill>
          </w14:textFill>
        </w:rPr>
      </w:pPr>
      <w:bookmarkStart w:id="0" w:name="_GoBack"/>
      <w:bookmarkEnd w:id="0"/>
    </w:p>
    <w:p>
      <w:pPr>
        <w:ind w:firstLine="642"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第一条</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为贯彻落实《中华人民共和国义务教育法》，确保异地务工人员随迁子女在斗门区平等接受教育，根据《居住证暂行条例》（国务院第663号）、《广东省流动人口服务管理条例》《关于做好进城务工人员随迁子女义务教育工作的意见》（粤府办〔2011〕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号）和珠海市《关于进一步做好异地务工人员随迁子女义务教育工作的意见》（珠教〔2016〕1号），结合珠海市斗门区经济社会发展现状及20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21</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年积分入学办法，重新制定202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z w:val="32"/>
          <w:szCs w:val="32"/>
          <w14:textFill>
            <w14:solidFill>
              <w14:schemeClr w14:val="tx1"/>
            </w14:solidFill>
          </w14:textFill>
        </w:rPr>
        <w:t>年积分入学办法。</w:t>
      </w:r>
    </w:p>
    <w:p>
      <w:pPr>
        <w:ind w:firstLine="642"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第二条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本办法所称随迁子女，是指其父母或其他法定监护人至少一方在我</w:t>
      </w:r>
      <w:r>
        <w:rPr>
          <w:rFonts w:hint="eastAsia" w:ascii="仿宋_GB2312" w:hAnsi="仿宋_GB2312" w:eastAsia="仿宋_GB2312" w:cs="仿宋_GB2312"/>
          <w:b w:val="0"/>
          <w:bCs w:val="0"/>
          <w:color w:val="000000" w:themeColor="text1"/>
          <w:sz w:val="32"/>
          <w:szCs w:val="32"/>
          <w14:textFill>
            <w14:solidFill>
              <w14:schemeClr w14:val="tx1"/>
            </w14:solidFill>
          </w14:textFill>
        </w:rPr>
        <w:t>区居住，有合法稳定职业、合法稳定住所条件之一的，年龄介于6至1</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b w:val="0"/>
          <w:bCs w:val="0"/>
          <w:color w:val="000000" w:themeColor="text1"/>
          <w:sz w:val="32"/>
          <w:szCs w:val="32"/>
          <w14:textFill>
            <w14:solidFill>
              <w14:schemeClr w14:val="tx1"/>
            </w14:solidFill>
          </w14:textFill>
        </w:rPr>
        <w:t>周岁的非珠海市户籍随迁儿童少年。</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在我区工作或居住的港澳</w:t>
      </w:r>
      <w:r>
        <w:rPr>
          <w:rFonts w:hint="eastAsia" w:ascii="仿宋_GB2312" w:hAnsi="仿宋_GB2312" w:eastAsia="仿宋_GB2312" w:cs="仿宋_GB2312"/>
          <w:color w:val="000000" w:themeColor="text1"/>
          <w:sz w:val="32"/>
          <w:szCs w:val="32"/>
          <w14:textFill>
            <w14:solidFill>
              <w14:schemeClr w14:val="tx1"/>
            </w14:solidFill>
          </w14:textFill>
        </w:rPr>
        <w:t>台侨外人员子女以及其他政策性照顾生，不适用本办法。</w:t>
      </w:r>
    </w:p>
    <w:p>
      <w:pPr>
        <w:ind w:firstLine="642"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第三条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适龄随迁子女，可按其父母或法定监护人一方居住证或者自有全权不动产所在学区，凭积分申请义务教育起始年级公办学校学位。报读小学一年级的须年满6周岁（当年8月31日及之前出生），报读初中一年级的须为当年小学应届毕业学生。</w:t>
      </w:r>
    </w:p>
    <w:p>
      <w:pPr>
        <w:ind w:firstLine="642"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 xml:space="preserve">第四条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随迁子女积分入学项目设置居住年限（或房产年限）、参保年限、职业资格（或文化程度）和加分项共四大项目。具体积分项目指标分值如下：</w:t>
      </w:r>
    </w:p>
    <w:p>
      <w:pPr>
        <w:ind w:firstLine="640" w:firstLineChars="200"/>
        <w:rPr>
          <w:rFonts w:hint="eastAsia" w:ascii="楷体" w:hAnsi="楷体" w:eastAsia="楷体" w:cs="楷体"/>
          <w:b w:val="0"/>
          <w:bCs w:val="0"/>
          <w:color w:val="000000" w:themeColor="text1"/>
          <w:sz w:val="32"/>
          <w:szCs w:val="32"/>
          <w:lang w:val="en-US" w:eastAsia="zh-CN"/>
          <w14:textFill>
            <w14:solidFill>
              <w14:schemeClr w14:val="tx1"/>
            </w14:solidFill>
          </w14:textFill>
        </w:rPr>
      </w:pPr>
      <w:r>
        <w:rPr>
          <w:rFonts w:hint="eastAsia" w:ascii="楷体" w:hAnsi="楷体" w:eastAsia="楷体" w:cs="楷体"/>
          <w:b w:val="0"/>
          <w:bCs w:val="0"/>
          <w:color w:val="000000" w:themeColor="text1"/>
          <w:sz w:val="32"/>
          <w:szCs w:val="32"/>
          <w14:textFill>
            <w14:solidFill>
              <w14:schemeClr w14:val="tx1"/>
            </w14:solidFill>
          </w14:textFill>
        </w:rPr>
        <w:t>（一）居住年限（或房产年限）积分</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居住年限，指父母在斗门区办理的《广东省居住证》，以公安部门核查年限为准有效期限以最近10年内、截至当年8月31日前为止；房产年限，指父母所持本区住宅房产的《不动产权证》或《房地产权证》，以不动产登记部门核查登记日期为准，有效期限以最近10年内、截至当年8月31日为止。居住年限、房产年限分别计算积分，不重叠积分，以总分高的一项为此项目最终积分。每满一年积10分；不足一年的按实际月份计算积分。</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经珠海市公安部门核定，从《居住证暂行条例》颁布实施之日起，自2016年7月1日始，在珠海市初次申领到的《广东省居住证》，且居住证地址范围在斗门区内的，对实际居住记录，居住年限计时系统自动增计6个月。</w:t>
      </w:r>
    </w:p>
    <w:p>
      <w:pPr>
        <w:ind w:firstLine="640" w:firstLineChars="200"/>
        <w:rPr>
          <w:rFonts w:hint="eastAsia" w:ascii="楷体" w:hAnsi="楷体" w:eastAsia="楷体" w:cs="楷体"/>
          <w:b w:val="0"/>
          <w:bCs w:val="0"/>
          <w:color w:val="000000" w:themeColor="text1"/>
          <w:sz w:val="32"/>
          <w:szCs w:val="32"/>
          <w14:textFill>
            <w14:solidFill>
              <w14:schemeClr w14:val="tx1"/>
            </w14:solidFill>
          </w14:textFill>
        </w:rPr>
      </w:pPr>
      <w:r>
        <w:rPr>
          <w:rFonts w:hint="eastAsia" w:ascii="楷体" w:hAnsi="楷体" w:eastAsia="楷体" w:cs="楷体"/>
          <w:b w:val="0"/>
          <w:bCs w:val="0"/>
          <w:color w:val="000000" w:themeColor="text1"/>
          <w:sz w:val="32"/>
          <w:szCs w:val="32"/>
          <w14:textFill>
            <w14:solidFill>
              <w14:schemeClr w14:val="tx1"/>
            </w14:solidFill>
          </w14:textFill>
        </w:rPr>
        <w:t>（二）职业资格（或文化程度）积分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职业资格按所持最高等级“国家职业资格证书”或“职业技能等级证书”积分，以“技能人才评价证书全国联网查询系统”（http：//zscx.osta.org.cn）核查信息为准，一级（高级技师）积30分、二级（技师）积25分、三级（高级技能）积15分、四级（中级技能）积10分。文化程度按所持最高毕业学历积分，以“中国高等教育学生信息网”（http：//www.chsi.com.cn）核查《教育部学历证书电子注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备</w:t>
      </w:r>
      <w:r>
        <w:rPr>
          <w:rFonts w:hint="eastAsia" w:ascii="仿宋_GB2312" w:hAnsi="仿宋_GB2312" w:eastAsia="仿宋_GB2312" w:cs="仿宋_GB2312"/>
          <w:color w:val="000000" w:themeColor="text1"/>
          <w:sz w:val="32"/>
          <w:szCs w:val="32"/>
          <w14:textFill>
            <w14:solidFill>
              <w14:schemeClr w14:val="tx1"/>
            </w14:solidFill>
          </w14:textFill>
        </w:rPr>
        <w:t>案表》或《中国高等教育学历认证报告》的信息为准，硕士研究生学历积60分，本科学历积30分，大专学历积20分。职业资格、文化程度分别计算积分，不重叠、不累计积分，以总分高的一项为此项目最终积分。</w:t>
      </w:r>
    </w:p>
    <w:p>
      <w:pPr>
        <w:ind w:firstLine="642" w:firstLineChars="200"/>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（三）参保年限积分</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以在珠海市缴纳的基本养老保险、基本医疗保险、失业保险、工伤保险、生育保险，每险种满1年积2分，不足一年的按实际月份计算积分。每险种的有效期限，以最近10年内、截至当年8月31日为止。</w:t>
      </w:r>
    </w:p>
    <w:p>
      <w:pPr>
        <w:ind w:firstLine="642" w:firstLineChars="200"/>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（四）加分项目</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在珠海市居住期间，荣获市内（区内）“劳动模范”“五一劳动奖章”“三八红旗手”“道德模范”“见义勇为”“珠海好人”“斗门好人”“最美志愿者”荣誉称号的，积100分。同类荣誉只计算1次，不累计加分。</w:t>
      </w:r>
    </w:p>
    <w:p>
      <w:pPr>
        <w:ind w:firstLine="640"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2.参加珠海市无偿献血的，加15分，该项不累计。</w:t>
      </w:r>
      <w:r>
        <w:rPr>
          <w:rFonts w:hint="eastAsia" w:ascii="仿宋_GB2312" w:hAnsi="仿宋_GB2312" w:eastAsia="仿宋_GB2312" w:cs="仿宋_GB2312"/>
          <w:b/>
          <w:bCs/>
          <w:color w:val="000000" w:themeColor="text1"/>
          <w:sz w:val="32"/>
          <w:szCs w:val="32"/>
          <w14:textFill>
            <w14:solidFill>
              <w14:schemeClr w14:val="tx1"/>
            </w14:solidFill>
          </w14:textFill>
        </w:rPr>
        <w:t>经珠海市推荐，荣获全国或广东省“无偿献血奉献奖”的</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按获奖级别进行积分。具体积分标准为：</w:t>
      </w:r>
      <w:r>
        <w:rPr>
          <w:rFonts w:hint="eastAsia" w:ascii="仿宋_GB2312" w:hAnsi="仿宋_GB2312" w:eastAsia="仿宋_GB2312" w:cs="仿宋_GB2312"/>
          <w:b/>
          <w:bCs/>
          <w:color w:val="000000" w:themeColor="text1"/>
          <w:sz w:val="32"/>
          <w:szCs w:val="32"/>
          <w14:textFill>
            <w14:solidFill>
              <w14:schemeClr w14:val="tx1"/>
            </w14:solidFill>
          </w14:textFill>
        </w:rPr>
        <w:t>金奖积100分，银奖积75分，铜奖积50分，</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按照所获</w:t>
      </w:r>
      <w:r>
        <w:rPr>
          <w:rFonts w:hint="eastAsia" w:ascii="仿宋_GB2312" w:hAnsi="仿宋_GB2312" w:eastAsia="仿宋_GB2312" w:cs="仿宋_GB2312"/>
          <w:b/>
          <w:bCs/>
          <w:color w:val="000000" w:themeColor="text1"/>
          <w:sz w:val="32"/>
          <w:szCs w:val="32"/>
          <w14:textFill>
            <w14:solidFill>
              <w14:schemeClr w14:val="tx1"/>
            </w14:solidFill>
          </w14:textFill>
        </w:rPr>
        <w:t>得的最高等级计算积分</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14:textFill>
            <w14:solidFill>
              <w14:schemeClr w14:val="tx1"/>
            </w14:solidFill>
          </w14:textFill>
        </w:rPr>
        <w:t>不</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累计积分</w:t>
      </w:r>
      <w:r>
        <w:rPr>
          <w:rFonts w:hint="eastAsia" w:ascii="仿宋_GB2312" w:hAnsi="仿宋_GB2312" w:eastAsia="仿宋_GB2312" w:cs="仿宋_GB2312"/>
          <w:b/>
          <w:bCs/>
          <w:color w:val="000000" w:themeColor="text1"/>
          <w:sz w:val="32"/>
          <w:szCs w:val="32"/>
          <w14:textFill>
            <w14:solidFill>
              <w14:schemeClr w14:val="tx1"/>
            </w14:solidFill>
          </w14:textFill>
        </w:rPr>
        <w:t>。</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3.参加区内志愿者服务一星加1分，二星加3分，三星加6分，四星加10分，五星加15分。</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4.符合《中华人民共和国退役军人保障法》的退役军人积30分。</w:t>
      </w:r>
    </w:p>
    <w:p>
      <w:pPr>
        <w:ind w:firstLine="642"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5.当年报名截止日期前12个月内参与</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14:textFill>
            <w14:solidFill>
              <w14:schemeClr w14:val="tx1"/>
            </w14:solidFill>
          </w14:textFill>
        </w:rPr>
        <w:t>斗门市民文明日</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14:textFill>
            <w14:solidFill>
              <w14:schemeClr w14:val="tx1"/>
            </w14:solidFill>
          </w14:textFill>
        </w:rPr>
        <w:t>活动满3次及以上加2分。</w:t>
      </w:r>
    </w:p>
    <w:p>
      <w:pPr>
        <w:ind w:firstLine="642"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第五条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积分总值为第四条所述各项目得分之和。父母或其他法定监护人分别计算积分，除房产年限积分外，其他积分项目，父母或其他法定监护人之间不重叠、不重复计分，以总分最高一方的分数为最终积分总值。前文第三条所述的无效申请，不予计算积分总值。</w:t>
      </w:r>
    </w:p>
    <w:p>
      <w:pPr>
        <w:ind w:firstLine="642"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第六条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每年动态划定积分入学录取分数线。录取分数线划定原则：按当年斗门区各公办学校招生计划总数，在招收本区户籍学生及政策性照顾类学生后，根据剩余学位数划定，积分由高到低录取，额满即止。积分入学分数线与积分入学拟录取名单同时向社会公布。</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如果出现录取分数线</w:t>
      </w:r>
      <w:r>
        <w:rPr>
          <w:rFonts w:hint="eastAsia" w:ascii="仿宋_GB2312" w:hAnsi="仿宋_GB2312" w:eastAsia="仿宋_GB2312" w:cs="仿宋_GB2312"/>
          <w:b w:val="0"/>
          <w:bCs w:val="0"/>
          <w:color w:val="000000" w:themeColor="text1"/>
          <w:sz w:val="32"/>
          <w:szCs w:val="32"/>
          <w14:textFill>
            <w14:solidFill>
              <w14:schemeClr w14:val="tx1"/>
            </w14:solidFill>
          </w14:textFill>
        </w:rPr>
        <w:t>同分学生人数多于剩余公办学校学位数的情况，则同分学生按其监护人持有房产优先录取。</w:t>
      </w:r>
    </w:p>
    <w:p>
      <w:pPr>
        <w:ind w:firstLine="642"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第七条</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区政府各相关职能部门和各镇（街道）政府应依法保障随迁子女在我区平等接受义务教育的权益，为随迁子女积分入学创造条件。</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随迁子女积分入学坚持公开、公平、公正原则，采取网上报名、职能部门审核、系统自动计算积分、教育行政部门统一录取的招生模式。文化程度信息由教育行政部门核查提供；居住年限及户籍信息由公安部门核查提供；社保年限、职业资格信息由人社部门核查提供；房产登记信息由不动产登记部门核查提供；“见义勇为”获奖信息由市公安局核查提供；“道德模范”“珠海好人”获奖信息由市文明办核查提供；“斗门好人”获奖信息由区文明办核查提供；“星级志愿者”“最美志愿者”信息由团市委、团区委核查提供；“劳动模范”“五一劳动奖章”由区总工会核查提供；“三八红旗手”由区妇联核查提供；无偿献血凭有效证书登记，由市中心血站核查提供；“退役军人”由区退役军人事务局核查提供；斗门区新市民文明素养培训有效证书登记，由区委宣传部核查提供。以上核查信息以当年报名截止日期前为准。</w:t>
      </w:r>
    </w:p>
    <w:p>
      <w:pPr>
        <w:ind w:firstLine="642"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第八条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随迁子女积分入学，每年网上集中受理一次，申请人可登录“斗门区义务教育招生服务平台”报名。网上填报信息以当年报名截止日期前所持证件信息为准。</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申请人可在规定时间内，登录“斗门区义务教育招生服务平台”查询本人</w:t>
      </w:r>
      <w:r>
        <w:rPr>
          <w:rFonts w:hint="eastAsia" w:ascii="仿宋_GB2312" w:hAnsi="仿宋_GB2312" w:eastAsia="仿宋_GB2312" w:cs="仿宋_GB2312"/>
          <w:color w:val="000000" w:themeColor="text1"/>
          <w:sz w:val="32"/>
          <w:szCs w:val="32"/>
          <w14:textFill>
            <w14:solidFill>
              <w14:schemeClr w14:val="tx1"/>
            </w14:solidFill>
          </w14:textFill>
        </w:rPr>
        <w:t>的积分情况。如有异议，可在区教育行政部门指定时间内按指定要求到指定招生服务窗口申请复核，并提交复核材料，由区教育行政部门汇总后提交相关职能部门复核。未在指定时间内申请复核的，视作自动放弃复核机会。</w:t>
      </w:r>
    </w:p>
    <w:p>
      <w:pPr>
        <w:ind w:firstLine="642"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第九条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达到当年积分入学分数线的名单，区教育行政部门将向社会公示5个工作日。公示期间对公示名单有异议的，可向区教育行政部</w:t>
      </w:r>
      <w:r>
        <w:rPr>
          <w:rFonts w:hint="eastAsia" w:ascii="仿宋_GB2312" w:hAnsi="仿宋_GB2312" w:eastAsia="仿宋_GB2312" w:cs="仿宋_GB2312"/>
          <w:b w:val="0"/>
          <w:bCs w:val="0"/>
          <w:color w:val="000000" w:themeColor="text1"/>
          <w:sz w:val="32"/>
          <w:szCs w:val="32"/>
          <w14:textFill>
            <w14:solidFill>
              <w14:schemeClr w14:val="tx1"/>
            </w14:solidFill>
          </w14:textFill>
        </w:rPr>
        <w:t>门反映。</w:t>
      </w:r>
    </w:p>
    <w:p>
      <w:pPr>
        <w:ind w:firstLine="642"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区教育行政部门根据公示结果，综合考虑学校布局、招生规模、申请人数以及居住地等情况，统筹安排公办学校学位，</w:t>
      </w:r>
      <w:r>
        <w:rPr>
          <w:rFonts w:hint="eastAsia" w:ascii="仿宋_GB2312" w:hAnsi="仿宋_GB2312" w:eastAsia="仿宋_GB2312" w:cs="仿宋_GB2312"/>
          <w:b w:val="0"/>
          <w:bCs w:val="0"/>
          <w:color w:val="000000" w:themeColor="text1"/>
          <w:sz w:val="32"/>
          <w:szCs w:val="32"/>
          <w14:textFill>
            <w14:solidFill>
              <w14:schemeClr w14:val="tx1"/>
            </w14:solidFill>
          </w14:textFill>
        </w:rPr>
        <w:t>具体实施按照当年招生细则执行。</w:t>
      </w:r>
    </w:p>
    <w:p>
      <w:pPr>
        <w:ind w:firstLine="642"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第十一条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随迁子女及其家长于当年规定时间内，持户口簿、房地产权证等有关佐证材料原件到</w:t>
      </w:r>
      <w:r>
        <w:rPr>
          <w:rFonts w:hint="eastAsia" w:ascii="仿宋_GB2312" w:hAnsi="仿宋_GB2312" w:eastAsia="仿宋_GB2312" w:cs="仿宋_GB2312"/>
          <w:b w:val="0"/>
          <w:bCs w:val="0"/>
          <w:color w:val="000000" w:themeColor="text1"/>
          <w:sz w:val="32"/>
          <w:szCs w:val="32"/>
          <w14:textFill>
            <w14:solidFill>
              <w14:schemeClr w14:val="tx1"/>
            </w14:solidFill>
          </w14:textFill>
        </w:rPr>
        <w:t>拟录</w:t>
      </w:r>
      <w:r>
        <w:rPr>
          <w:rFonts w:hint="eastAsia" w:ascii="仿宋_GB2312" w:hAnsi="仿宋_GB2312" w:eastAsia="仿宋_GB2312" w:cs="仿宋_GB2312"/>
          <w:color w:val="000000" w:themeColor="text1"/>
          <w:sz w:val="32"/>
          <w:szCs w:val="32"/>
          <w14:textFill>
            <w14:solidFill>
              <w14:schemeClr w14:val="tx1"/>
            </w14:solidFill>
          </w14:textFill>
        </w:rPr>
        <w:t>取学校现场核对，核对无误后办理入学手续。</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逾期未办理入学手续的，视为放弃积分入学资格；提供虚假材料的，一经查实，取消其积分入学资格。如其凭积分已入学的，取消其公办学校学位。</w:t>
      </w:r>
    </w:p>
    <w:p>
      <w:pPr>
        <w:ind w:firstLine="642"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第十二条</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义务教育阶段在校学生（以全国学籍系统数据为准，当年小学应届毕业学生报读初中一年级的除外）不得申请积分入学。已取得全国中小学生学籍信息管理系统学籍号，变相留级重复申请学位的，一律取消其申请学位，所造成后果，由家长自行承担。</w:t>
      </w:r>
    </w:p>
    <w:p>
      <w:pPr>
        <w:ind w:firstLine="642"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第十三条</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国家、省、市就随迁子女入学出台新规的，教育行政部门可根据本区的社会经济发展现状，调整随迁子女积分入学项目和分值，并向社会公布。</w:t>
      </w:r>
    </w:p>
    <w:p>
      <w:pPr>
        <w:ind w:firstLine="642" w:firstLineChars="200"/>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 xml:space="preserve">第十四条 </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14:textFill>
            <w14:solidFill>
              <w14:schemeClr w14:val="tx1"/>
            </w14:solidFill>
          </w14:textFill>
        </w:rPr>
        <w:t>名词解释</w:t>
      </w:r>
    </w:p>
    <w:p>
      <w:pPr>
        <w:ind w:firstLine="642"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本文中所述“</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斗门</w:t>
      </w:r>
      <w:r>
        <w:rPr>
          <w:rFonts w:hint="eastAsia" w:ascii="仿宋_GB2312" w:hAnsi="仿宋_GB2312" w:eastAsia="仿宋_GB2312" w:cs="仿宋_GB2312"/>
          <w:b/>
          <w:bCs/>
          <w:color w:val="000000" w:themeColor="text1"/>
          <w:sz w:val="32"/>
          <w:szCs w:val="32"/>
          <w14:textFill>
            <w14:solidFill>
              <w14:schemeClr w14:val="tx1"/>
            </w14:solidFill>
          </w14:textFill>
        </w:rPr>
        <w:t>区”、“本区”、“区”，所指区域范围均指为</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斗门</w:t>
      </w:r>
      <w:r>
        <w:rPr>
          <w:rFonts w:hint="eastAsia" w:ascii="仿宋_GB2312" w:hAnsi="仿宋_GB2312" w:eastAsia="仿宋_GB2312" w:cs="仿宋_GB2312"/>
          <w:b/>
          <w:bCs/>
          <w:color w:val="000000" w:themeColor="text1"/>
          <w:sz w:val="32"/>
          <w:szCs w:val="32"/>
          <w14:textFill>
            <w14:solidFill>
              <w14:schemeClr w14:val="tx1"/>
            </w14:solidFill>
          </w14:textFill>
        </w:rPr>
        <w:t>区</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井岸</w:t>
      </w:r>
      <w:r>
        <w:rPr>
          <w:rFonts w:hint="eastAsia" w:ascii="仿宋_GB2312" w:hAnsi="仿宋_GB2312" w:eastAsia="仿宋_GB2312" w:cs="仿宋_GB2312"/>
          <w:b/>
          <w:bCs/>
          <w:color w:val="000000" w:themeColor="text1"/>
          <w:sz w:val="32"/>
          <w:szCs w:val="32"/>
          <w14:textFill>
            <w14:solidFill>
              <w14:schemeClr w14:val="tx1"/>
            </w14:solidFill>
          </w14:textFill>
        </w:rPr>
        <w:t>镇、</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白蕉镇</w:t>
      </w:r>
      <w:r>
        <w:rPr>
          <w:rFonts w:hint="eastAsia" w:ascii="仿宋_GB2312" w:hAnsi="仿宋_GB2312" w:eastAsia="仿宋_GB2312" w:cs="仿宋_GB2312"/>
          <w:b/>
          <w:bCs/>
          <w:color w:val="000000" w:themeColor="text1"/>
          <w:sz w:val="32"/>
          <w:szCs w:val="32"/>
          <w14:textFill>
            <w14:solidFill>
              <w14:schemeClr w14:val="tx1"/>
            </w14:solidFill>
          </w14:textFill>
        </w:rPr>
        <w:t>、</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斗门镇</w:t>
      </w:r>
      <w:r>
        <w:rPr>
          <w:rFonts w:hint="eastAsia" w:ascii="仿宋_GB2312" w:hAnsi="仿宋_GB2312" w:eastAsia="仿宋_GB2312" w:cs="仿宋_GB2312"/>
          <w:b/>
          <w:bCs/>
          <w:color w:val="000000" w:themeColor="text1"/>
          <w:sz w:val="32"/>
          <w:szCs w:val="32"/>
          <w14:textFill>
            <w14:solidFill>
              <w14:schemeClr w14:val="tx1"/>
            </w14:solidFill>
          </w14:textFill>
        </w:rPr>
        <w:t>、</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莲洲镇、乾务镇、白藤街道</w:t>
      </w:r>
      <w:r>
        <w:rPr>
          <w:rFonts w:hint="eastAsia" w:ascii="仿宋_GB2312" w:hAnsi="仿宋_GB2312" w:eastAsia="仿宋_GB2312" w:cs="仿宋_GB2312"/>
          <w:b/>
          <w:bCs/>
          <w:color w:val="000000" w:themeColor="text1"/>
          <w:sz w:val="32"/>
          <w:szCs w:val="32"/>
          <w14:textFill>
            <w14:solidFill>
              <w14:schemeClr w14:val="tx1"/>
            </w14:solidFill>
          </w14:textFill>
        </w:rPr>
        <w:t>。</w:t>
      </w:r>
    </w:p>
    <w:p>
      <w:pPr>
        <w:ind w:firstLine="642"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文中提及的居住证、社保、房产等信息的所在范围均为上述区域。</w:t>
      </w:r>
    </w:p>
    <w:p>
      <w:pPr>
        <w:ind w:firstLine="642"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本文中所述“市”均为珠海市。</w:t>
      </w:r>
    </w:p>
    <w:p>
      <w:pPr>
        <w:ind w:firstLine="642"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本文中所述“房产”，是指父母在同一房产中占有产权份额为100%，且房产登记用途须为“住宅”或“成套住宅”的房产</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p>
    <w:p>
      <w:pPr>
        <w:ind w:firstLine="642"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第十五条</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本办法由斗门区教育局负责解释。</w:t>
      </w:r>
    </w:p>
    <w:p>
      <w:pPr>
        <w:ind w:firstLine="642"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第十六条</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本办法自2026年5月1日起正式实施，有效期五年。</w:t>
      </w:r>
    </w:p>
    <w:p>
      <w:pPr>
        <w:rPr>
          <w:rFonts w:hint="eastAsia" w:ascii="仿宋" w:hAnsi="仿宋" w:eastAsia="仿宋" w:cs="仿宋"/>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珠海市斗门区教育局</w:t>
      </w: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年2月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14:textFill>
            <w14:solidFill>
              <w14:schemeClr w14:val="tx1"/>
            </w14:solidFill>
          </w14:textFill>
        </w:rPr>
        <w:t>日</w:t>
      </w:r>
    </w:p>
    <w:p>
      <w:pPr>
        <w:rPr>
          <w:rFonts w:hint="eastAsia" w:ascii="仿宋" w:hAnsi="仿宋" w:eastAsia="仿宋" w:cs="仿宋"/>
          <w:color w:val="000000" w:themeColor="text1"/>
          <w:sz w:val="32"/>
          <w:szCs w:val="32"/>
          <w14:textFill>
            <w14:solidFill>
              <w14:schemeClr w14:val="tx1"/>
            </w14:solidFill>
          </w14:textFill>
        </w:rPr>
      </w:pPr>
    </w:p>
    <w:p>
      <w:pPr>
        <w:rPr>
          <w:rFonts w:hint="eastAsia" w:ascii="仿宋" w:hAnsi="仿宋" w:eastAsia="仿宋" w:cs="仿宋"/>
          <w:color w:val="000000" w:themeColor="text1"/>
          <w:sz w:val="32"/>
          <w:szCs w:val="32"/>
          <w14:textFill>
            <w14:solidFill>
              <w14:schemeClr w14:val="tx1"/>
            </w14:solidFill>
          </w14:textFill>
        </w:rPr>
      </w:pPr>
    </w:p>
    <w:p>
      <w:pPr>
        <w:rPr>
          <w:rFonts w:hint="eastAsia" w:ascii="仿宋" w:hAnsi="仿宋" w:eastAsia="仿宋" w:cs="仿宋"/>
          <w:color w:val="000000" w:themeColor="text1"/>
          <w:sz w:val="32"/>
          <w:szCs w:val="32"/>
          <w14:textFill>
            <w14:solidFill>
              <w14:schemeClr w14:val="tx1"/>
            </w14:solidFill>
          </w14:textFill>
        </w:rPr>
      </w:pPr>
    </w:p>
    <w:p>
      <w:pPr>
        <w:ind w:firstLine="320" w:firstLineChars="1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p>
    <w:p>
      <w:pPr>
        <w:jc w:val="center"/>
        <w:rPr>
          <w:rFonts w:hint="eastAsia" w:asciiTheme="majorEastAsia" w:hAnsiTheme="majorEastAsia" w:eastAsiaTheme="majorEastAsia" w:cstheme="majorEastAsia"/>
          <w:b/>
          <w:bCs/>
          <w:color w:val="000000" w:themeColor="text1"/>
          <w:sz w:val="32"/>
          <w:szCs w:val="32"/>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14:textFill>
            <w14:solidFill>
              <w14:schemeClr w14:val="tx1"/>
            </w14:solidFill>
          </w14:textFill>
        </w:rPr>
        <w:t>珠海市斗门区异地务工人员随迁子女积分入学指标及分值表</w:t>
      </w:r>
    </w:p>
    <w:tbl>
      <w:tblPr>
        <w:tblStyle w:val="5"/>
        <w:tblW w:w="87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94"/>
        <w:gridCol w:w="675"/>
        <w:gridCol w:w="1410"/>
        <w:gridCol w:w="960"/>
        <w:gridCol w:w="2775"/>
        <w:gridCol w:w="18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1094" w:type="dxa"/>
            <w:vAlign w:val="top"/>
          </w:tcPr>
          <w:p>
            <w:pPr>
              <w:pStyle w:val="4"/>
              <w:spacing w:before="156" w:line="231" w:lineRule="auto"/>
              <w:ind w:left="260"/>
              <w:rPr>
                <w:color w:val="000000" w:themeColor="text1"/>
                <w14:textFill>
                  <w14:solidFill>
                    <w14:schemeClr w14:val="tx1"/>
                  </w14:solidFill>
                </w14:textFill>
              </w:rPr>
            </w:pPr>
            <w:r>
              <w:rPr>
                <w:b/>
                <w:bCs/>
                <w:color w:val="000000" w:themeColor="text1"/>
                <w:spacing w:val="4"/>
                <w14:textFill>
                  <w14:solidFill>
                    <w14:schemeClr w14:val="tx1"/>
                  </w14:solidFill>
                </w14:textFill>
              </w:rPr>
              <w:t>积分指标</w:t>
            </w:r>
          </w:p>
        </w:tc>
        <w:tc>
          <w:tcPr>
            <w:tcW w:w="2085" w:type="dxa"/>
            <w:gridSpan w:val="2"/>
            <w:vAlign w:val="top"/>
          </w:tcPr>
          <w:p>
            <w:pPr>
              <w:pStyle w:val="4"/>
              <w:spacing w:before="156" w:line="231" w:lineRule="auto"/>
              <w:ind w:left="613"/>
              <w:rPr>
                <w:color w:val="000000" w:themeColor="text1"/>
                <w14:textFill>
                  <w14:solidFill>
                    <w14:schemeClr w14:val="tx1"/>
                  </w14:solidFill>
                </w14:textFill>
              </w:rPr>
            </w:pPr>
            <w:r>
              <w:rPr>
                <w:b/>
                <w:bCs/>
                <w:color w:val="000000" w:themeColor="text1"/>
                <w:spacing w:val="5"/>
                <w14:textFill>
                  <w14:solidFill>
                    <w14:schemeClr w14:val="tx1"/>
                  </w14:solidFill>
                </w14:textFill>
              </w:rPr>
              <w:t>指标内容</w:t>
            </w:r>
          </w:p>
        </w:tc>
        <w:tc>
          <w:tcPr>
            <w:tcW w:w="960" w:type="dxa"/>
            <w:vAlign w:val="top"/>
          </w:tcPr>
          <w:p>
            <w:pPr>
              <w:pStyle w:val="4"/>
              <w:spacing w:before="155" w:line="232" w:lineRule="auto"/>
              <w:ind w:left="347"/>
              <w:rPr>
                <w:color w:val="000000" w:themeColor="text1"/>
                <w14:textFill>
                  <w14:solidFill>
                    <w14:schemeClr w14:val="tx1"/>
                  </w14:solidFill>
                </w14:textFill>
              </w:rPr>
            </w:pPr>
            <w:r>
              <w:rPr>
                <w:b/>
                <w:bCs/>
                <w:color w:val="000000" w:themeColor="text1"/>
                <w:spacing w:val="-1"/>
                <w14:textFill>
                  <w14:solidFill>
                    <w14:schemeClr w14:val="tx1"/>
                  </w14:solidFill>
                </w14:textFill>
              </w:rPr>
              <w:t>分值</w:t>
            </w:r>
          </w:p>
        </w:tc>
        <w:tc>
          <w:tcPr>
            <w:tcW w:w="4590" w:type="dxa"/>
            <w:gridSpan w:val="2"/>
            <w:vAlign w:val="top"/>
          </w:tcPr>
          <w:p>
            <w:pPr>
              <w:pStyle w:val="4"/>
              <w:spacing w:before="156" w:line="231" w:lineRule="auto"/>
              <w:ind w:left="2154"/>
              <w:rPr>
                <w:color w:val="000000" w:themeColor="text1"/>
                <w14:textFill>
                  <w14:solidFill>
                    <w14:schemeClr w14:val="tx1"/>
                  </w14:solidFill>
                </w14:textFill>
              </w:rPr>
            </w:pPr>
            <w:r>
              <w:rPr>
                <w:b/>
                <w:bCs/>
                <w:color w:val="000000" w:themeColor="text1"/>
                <w:spacing w:val="4"/>
                <w14:textFill>
                  <w14:solidFill>
                    <w14:schemeClr w14:val="tx1"/>
                  </w14:solidFill>
                </w14:textFill>
              </w:rPr>
              <w:t>实施说明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1094" w:type="dxa"/>
            <w:vMerge w:val="restart"/>
            <w:tcBorders>
              <w:bottom w:val="nil"/>
            </w:tcBorders>
            <w:vAlign w:val="top"/>
          </w:tcPr>
          <w:p>
            <w:pPr>
              <w:spacing w:line="274" w:lineRule="auto"/>
              <w:rPr>
                <w:rFonts w:ascii="Arial"/>
                <w:color w:val="000000" w:themeColor="text1"/>
                <w:sz w:val="21"/>
                <w14:textFill>
                  <w14:solidFill>
                    <w14:schemeClr w14:val="tx1"/>
                  </w14:solidFill>
                </w14:textFill>
              </w:rPr>
            </w:pPr>
          </w:p>
          <w:p>
            <w:pPr>
              <w:spacing w:line="274" w:lineRule="auto"/>
              <w:rPr>
                <w:rFonts w:ascii="Arial"/>
                <w:color w:val="000000" w:themeColor="text1"/>
                <w:sz w:val="21"/>
                <w14:textFill>
                  <w14:solidFill>
                    <w14:schemeClr w14:val="tx1"/>
                  </w14:solidFill>
                </w14:textFill>
              </w:rPr>
            </w:pPr>
          </w:p>
          <w:p>
            <w:pPr>
              <w:spacing w:line="274" w:lineRule="auto"/>
              <w:rPr>
                <w:rFonts w:ascii="Arial"/>
                <w:color w:val="000000" w:themeColor="text1"/>
                <w:sz w:val="21"/>
                <w14:textFill>
                  <w14:solidFill>
                    <w14:schemeClr w14:val="tx1"/>
                  </w14:solidFill>
                </w14:textFill>
              </w:rPr>
            </w:pPr>
          </w:p>
          <w:p>
            <w:pPr>
              <w:spacing w:line="274" w:lineRule="auto"/>
              <w:rPr>
                <w:rFonts w:ascii="Arial"/>
                <w:color w:val="000000" w:themeColor="text1"/>
                <w:sz w:val="21"/>
                <w14:textFill>
                  <w14:solidFill>
                    <w14:schemeClr w14:val="tx1"/>
                  </w14:solidFill>
                </w14:textFill>
              </w:rPr>
            </w:pPr>
          </w:p>
          <w:p>
            <w:pPr>
              <w:pStyle w:val="4"/>
              <w:spacing w:before="65" w:line="259" w:lineRule="auto"/>
              <w:ind w:left="198" w:right="193" w:firstLine="60"/>
              <w:rPr>
                <w:color w:val="000000" w:themeColor="text1"/>
                <w14:textFill>
                  <w14:solidFill>
                    <w14:schemeClr w14:val="tx1"/>
                  </w14:solidFill>
                </w14:textFill>
              </w:rPr>
            </w:pPr>
            <w:r>
              <w:rPr>
                <w:color w:val="000000" w:themeColor="text1"/>
                <w:spacing w:val="6"/>
                <w14:textFill>
                  <w14:solidFill>
                    <w14:schemeClr w14:val="tx1"/>
                  </w14:solidFill>
                </w14:textFill>
              </w:rPr>
              <w:t>居住年限</w:t>
            </w:r>
            <w:r>
              <w:rPr>
                <w:color w:val="000000" w:themeColor="text1"/>
                <w:spacing w:val="7"/>
                <w14:textFill>
                  <w14:solidFill>
                    <w14:schemeClr w14:val="tx1"/>
                  </w14:solidFill>
                </w14:textFill>
              </w:rPr>
              <w:t>/房产年限</w:t>
            </w:r>
          </w:p>
        </w:tc>
        <w:tc>
          <w:tcPr>
            <w:tcW w:w="2085" w:type="dxa"/>
            <w:gridSpan w:val="2"/>
            <w:vAlign w:val="top"/>
          </w:tcPr>
          <w:p>
            <w:pPr>
              <w:spacing w:line="396" w:lineRule="auto"/>
              <w:rPr>
                <w:rFonts w:ascii="Arial"/>
                <w:color w:val="000000" w:themeColor="text1"/>
                <w:sz w:val="21"/>
                <w14:textFill>
                  <w14:solidFill>
                    <w14:schemeClr w14:val="tx1"/>
                  </w14:solidFill>
                </w14:textFill>
              </w:rPr>
            </w:pPr>
          </w:p>
          <w:p>
            <w:pPr>
              <w:pStyle w:val="4"/>
              <w:spacing w:before="65" w:line="230" w:lineRule="auto"/>
              <w:ind w:left="116"/>
              <w:rPr>
                <w:color w:val="000000" w:themeColor="text1"/>
                <w14:textFill>
                  <w14:solidFill>
                    <w14:schemeClr w14:val="tx1"/>
                  </w14:solidFill>
                </w14:textFill>
              </w:rPr>
            </w:pPr>
            <w:r>
              <w:rPr>
                <w:color w:val="000000" w:themeColor="text1"/>
                <w:spacing w:val="6"/>
                <w14:textFill>
                  <w14:solidFill>
                    <w14:schemeClr w14:val="tx1"/>
                  </w14:solidFill>
                </w14:textFill>
              </w:rPr>
              <w:t>《广东省居住证》</w:t>
            </w:r>
          </w:p>
        </w:tc>
        <w:tc>
          <w:tcPr>
            <w:tcW w:w="960" w:type="dxa"/>
            <w:vMerge w:val="restart"/>
            <w:tcBorders>
              <w:bottom w:val="nil"/>
            </w:tcBorders>
            <w:vAlign w:val="top"/>
          </w:tcPr>
          <w:p>
            <w:pPr>
              <w:spacing w:line="247" w:lineRule="auto"/>
              <w:rPr>
                <w:rFonts w:ascii="Arial"/>
                <w:color w:val="000000" w:themeColor="text1"/>
                <w:sz w:val="21"/>
                <w14:textFill>
                  <w14:solidFill>
                    <w14:schemeClr w14:val="tx1"/>
                  </w14:solidFill>
                </w14:textFill>
              </w:rPr>
            </w:pPr>
          </w:p>
          <w:p>
            <w:pPr>
              <w:spacing w:line="247" w:lineRule="auto"/>
              <w:rPr>
                <w:rFonts w:ascii="Arial"/>
                <w:color w:val="000000" w:themeColor="text1"/>
                <w:sz w:val="21"/>
                <w14:textFill>
                  <w14:solidFill>
                    <w14:schemeClr w14:val="tx1"/>
                  </w14:solidFill>
                </w14:textFill>
              </w:rPr>
            </w:pPr>
          </w:p>
          <w:p>
            <w:pPr>
              <w:spacing w:line="247" w:lineRule="auto"/>
              <w:rPr>
                <w:rFonts w:ascii="Arial"/>
                <w:color w:val="000000" w:themeColor="text1"/>
                <w:sz w:val="21"/>
                <w14:textFill>
                  <w14:solidFill>
                    <w14:schemeClr w14:val="tx1"/>
                  </w14:solidFill>
                </w14:textFill>
              </w:rPr>
            </w:pPr>
          </w:p>
          <w:p>
            <w:pPr>
              <w:spacing w:line="247" w:lineRule="auto"/>
              <w:rPr>
                <w:rFonts w:ascii="Arial"/>
                <w:color w:val="000000" w:themeColor="text1"/>
                <w:sz w:val="21"/>
                <w14:textFill>
                  <w14:solidFill>
                    <w14:schemeClr w14:val="tx1"/>
                  </w14:solidFill>
                </w14:textFill>
              </w:rPr>
            </w:pPr>
          </w:p>
          <w:p>
            <w:pPr>
              <w:spacing w:line="248" w:lineRule="auto"/>
              <w:rPr>
                <w:rFonts w:ascii="Arial"/>
                <w:color w:val="000000" w:themeColor="text1"/>
                <w:sz w:val="21"/>
                <w14:textFill>
                  <w14:solidFill>
                    <w14:schemeClr w14:val="tx1"/>
                  </w14:solidFill>
                </w14:textFill>
              </w:rPr>
            </w:pPr>
          </w:p>
          <w:p>
            <w:pPr>
              <w:pStyle w:val="4"/>
              <w:spacing w:before="65" w:line="231" w:lineRule="auto"/>
              <w:ind w:left="171"/>
              <w:rPr>
                <w:color w:val="000000" w:themeColor="text1"/>
                <w14:textFill>
                  <w14:solidFill>
                    <w14:schemeClr w14:val="tx1"/>
                  </w14:solidFill>
                </w14:textFill>
              </w:rPr>
            </w:pPr>
            <w:r>
              <w:rPr>
                <w:color w:val="000000" w:themeColor="text1"/>
                <w:spacing w:val="-2"/>
                <w14:textFill>
                  <w14:solidFill>
                    <w14:schemeClr w14:val="tx1"/>
                  </w14:solidFill>
                </w14:textFill>
              </w:rPr>
              <w:t>10分/年</w:t>
            </w:r>
          </w:p>
        </w:tc>
        <w:tc>
          <w:tcPr>
            <w:tcW w:w="2775" w:type="dxa"/>
            <w:vAlign w:val="top"/>
          </w:tcPr>
          <w:p>
            <w:pPr>
              <w:pStyle w:val="4"/>
              <w:spacing w:before="44" w:line="247" w:lineRule="auto"/>
              <w:ind w:left="115" w:right="31" w:firstLine="3"/>
              <w:jc w:val="both"/>
              <w:rPr>
                <w:color w:val="000000" w:themeColor="text1"/>
                <w14:textFill>
                  <w14:solidFill>
                    <w14:schemeClr w14:val="tx1"/>
                  </w14:solidFill>
                </w14:textFill>
              </w:rPr>
            </w:pPr>
            <w:r>
              <w:rPr>
                <w:color w:val="000000" w:themeColor="text1"/>
                <w:spacing w:val="-5"/>
                <w14:textFill>
                  <w14:solidFill>
                    <w14:schemeClr w14:val="tx1"/>
                  </w14:solidFill>
                </w14:textFill>
              </w:rPr>
              <w:t>在我区办理的《广东省居住证》（含</w:t>
            </w:r>
            <w:r>
              <w:rPr>
                <w:color w:val="000000" w:themeColor="text1"/>
                <w:spacing w:val="1"/>
                <w14:textFill>
                  <w14:solidFill>
                    <w14:schemeClr w14:val="tx1"/>
                  </w14:solidFill>
                </w14:textFill>
              </w:rPr>
              <w:t>暂住证）以公安部门核查年限为准。</w:t>
            </w:r>
            <w:r>
              <w:rPr>
                <w:color w:val="000000" w:themeColor="text1"/>
                <w:spacing w:val="6"/>
                <w14:textFill>
                  <w14:solidFill>
                    <w14:schemeClr w14:val="tx1"/>
                  </w14:solidFill>
                </w14:textFill>
              </w:rPr>
              <w:t>有效期限以最近十年内、当年8月</w:t>
            </w:r>
            <w:r>
              <w:rPr>
                <w:color w:val="000000" w:themeColor="text1"/>
                <w:spacing w:val="-2"/>
                <w14:textFill>
                  <w14:solidFill>
                    <w14:schemeClr w14:val="tx1"/>
                  </w14:solidFill>
                </w14:textFill>
              </w:rPr>
              <w:t>31日前为准。</w:t>
            </w:r>
          </w:p>
        </w:tc>
        <w:tc>
          <w:tcPr>
            <w:tcW w:w="1815" w:type="dxa"/>
            <w:vMerge w:val="restart"/>
            <w:tcBorders>
              <w:bottom w:val="nil"/>
            </w:tcBorders>
            <w:vAlign w:val="top"/>
          </w:tcPr>
          <w:p>
            <w:pPr>
              <w:pStyle w:val="4"/>
              <w:spacing w:before="42" w:line="253" w:lineRule="auto"/>
              <w:ind w:left="121" w:right="109" w:firstLine="9"/>
              <w:rPr>
                <w:color w:val="000000" w:themeColor="text1"/>
                <w14:textFill>
                  <w14:solidFill>
                    <w14:schemeClr w14:val="tx1"/>
                  </w14:solidFill>
                </w14:textFill>
              </w:rPr>
            </w:pPr>
            <w:r>
              <w:rPr>
                <w:color w:val="000000" w:themeColor="text1"/>
                <w:spacing w:val="12"/>
                <w14:textFill>
                  <w14:solidFill>
                    <w14:schemeClr w14:val="tx1"/>
                  </w14:solidFill>
                </w14:textFill>
              </w:rPr>
              <w:t>1.在我区居住年</w:t>
            </w:r>
            <w:r>
              <w:rPr>
                <w:color w:val="000000" w:themeColor="text1"/>
                <w:spacing w:val="16"/>
                <w14:textFill>
                  <w14:solidFill>
                    <w14:schemeClr w14:val="tx1"/>
                  </w14:solidFill>
                </w14:textFill>
              </w:rPr>
              <w:t>限、房产年限任</w:t>
            </w:r>
            <w:r>
              <w:rPr>
                <w:color w:val="000000" w:themeColor="text1"/>
                <w:spacing w:val="6"/>
                <w14:textFill>
                  <w14:solidFill>
                    <w14:schemeClr w14:val="tx1"/>
                  </w14:solidFill>
                </w14:textFill>
              </w:rPr>
              <w:t>择其一积分，就</w:t>
            </w:r>
            <w:r>
              <w:rPr>
                <w:color w:val="000000" w:themeColor="text1"/>
                <w:spacing w:val="16"/>
                <w14:textFill>
                  <w14:solidFill>
                    <w14:schemeClr w14:val="tx1"/>
                  </w14:solidFill>
                </w14:textFill>
              </w:rPr>
              <w:t>高不就低，不累</w:t>
            </w:r>
            <w:r>
              <w:rPr>
                <w:color w:val="000000" w:themeColor="text1"/>
                <w:spacing w:val="-1"/>
                <w14:textFill>
                  <w14:solidFill>
                    <w14:schemeClr w14:val="tx1"/>
                  </w14:solidFill>
                </w14:textFill>
              </w:rPr>
              <w:t>加计分。</w:t>
            </w:r>
          </w:p>
          <w:p>
            <w:pPr>
              <w:pStyle w:val="4"/>
              <w:spacing w:before="29" w:line="252" w:lineRule="auto"/>
              <w:ind w:left="121" w:right="109" w:hanging="3"/>
              <w:rPr>
                <w:color w:val="000000" w:themeColor="text1"/>
                <w14:textFill>
                  <w14:solidFill>
                    <w14:schemeClr w14:val="tx1"/>
                  </w14:solidFill>
                </w14:textFill>
              </w:rPr>
            </w:pPr>
            <w:r>
              <w:rPr>
                <w:color w:val="000000" w:themeColor="text1"/>
                <w:spacing w:val="3"/>
                <w14:textFill>
                  <w14:solidFill>
                    <w14:schemeClr w14:val="tx1"/>
                  </w14:solidFill>
                </w14:textFill>
              </w:rPr>
              <w:t>2.每满一年积10</w:t>
            </w:r>
            <w:r>
              <w:rPr>
                <w:color w:val="000000" w:themeColor="text1"/>
                <w:spacing w:val="9"/>
                <w14:textFill>
                  <w14:solidFill>
                    <w14:schemeClr w14:val="tx1"/>
                  </w14:solidFill>
                </w14:textFill>
              </w:rPr>
              <w:t>分；</w:t>
            </w:r>
            <w:r>
              <w:rPr>
                <w:color w:val="000000" w:themeColor="text1"/>
                <w:spacing w:val="-52"/>
                <w14:textFill>
                  <w14:solidFill>
                    <w14:schemeClr w14:val="tx1"/>
                  </w14:solidFill>
                </w14:textFill>
              </w:rPr>
              <w:t xml:space="preserve"> </w:t>
            </w:r>
            <w:r>
              <w:rPr>
                <w:color w:val="000000" w:themeColor="text1"/>
                <w:spacing w:val="9"/>
                <w14:textFill>
                  <w14:solidFill>
                    <w14:schemeClr w14:val="tx1"/>
                  </w14:solidFill>
                </w14:textFill>
              </w:rPr>
              <w:t>不足一年的</w:t>
            </w:r>
            <w:r>
              <w:rPr>
                <w:color w:val="000000" w:themeColor="text1"/>
                <w:spacing w:val="16"/>
                <w14:textFill>
                  <w14:solidFill>
                    <w14:schemeClr w14:val="tx1"/>
                  </w14:solidFill>
                </w14:textFill>
              </w:rPr>
              <w:t>按实际月份计算</w:t>
            </w:r>
            <w:r>
              <w:rPr>
                <w:color w:val="000000" w:themeColor="text1"/>
                <w:spacing w:val="1"/>
                <w14:textFill>
                  <w14:solidFill>
                    <w14:schemeClr w14:val="tx1"/>
                  </w14:solidFill>
                </w14:textFill>
              </w:rPr>
              <w:t>积分。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1094" w:type="dxa"/>
            <w:vMerge w:val="continue"/>
            <w:tcBorders>
              <w:top w:val="nil"/>
            </w:tcBorders>
            <w:vAlign w:val="top"/>
          </w:tcPr>
          <w:p>
            <w:pPr>
              <w:rPr>
                <w:rFonts w:ascii="Arial"/>
                <w:color w:val="000000" w:themeColor="text1"/>
                <w:sz w:val="21"/>
                <w14:textFill>
                  <w14:solidFill>
                    <w14:schemeClr w14:val="tx1"/>
                  </w14:solidFill>
                </w14:textFill>
              </w:rPr>
            </w:pPr>
          </w:p>
        </w:tc>
        <w:tc>
          <w:tcPr>
            <w:tcW w:w="2085" w:type="dxa"/>
            <w:gridSpan w:val="2"/>
            <w:vAlign w:val="top"/>
          </w:tcPr>
          <w:p>
            <w:pPr>
              <w:spacing w:line="268" w:lineRule="auto"/>
              <w:rPr>
                <w:rFonts w:ascii="Arial"/>
                <w:color w:val="000000" w:themeColor="text1"/>
                <w:sz w:val="21"/>
                <w14:textFill>
                  <w14:solidFill>
                    <w14:schemeClr w14:val="tx1"/>
                  </w14:solidFill>
                </w14:textFill>
              </w:rPr>
            </w:pPr>
          </w:p>
          <w:p>
            <w:pPr>
              <w:spacing w:line="268" w:lineRule="auto"/>
              <w:rPr>
                <w:rFonts w:ascii="Arial"/>
                <w:color w:val="000000" w:themeColor="text1"/>
                <w:sz w:val="21"/>
                <w14:textFill>
                  <w14:solidFill>
                    <w14:schemeClr w14:val="tx1"/>
                  </w14:solidFill>
                </w14:textFill>
              </w:rPr>
            </w:pPr>
          </w:p>
          <w:p>
            <w:pPr>
              <w:pStyle w:val="4"/>
              <w:spacing w:before="65" w:line="259" w:lineRule="auto"/>
              <w:ind w:left="239" w:right="250" w:firstLine="59"/>
              <w:rPr>
                <w:color w:val="000000" w:themeColor="text1"/>
                <w14:textFill>
                  <w14:solidFill>
                    <w14:schemeClr w14:val="tx1"/>
                  </w14:solidFill>
                </w14:textFill>
              </w:rPr>
            </w:pPr>
            <w:r>
              <w:rPr>
                <w:color w:val="000000" w:themeColor="text1"/>
                <w:spacing w:val="6"/>
                <w14:textFill>
                  <w14:solidFill>
                    <w14:schemeClr w14:val="tx1"/>
                  </w14:solidFill>
                </w14:textFill>
              </w:rPr>
              <w:t>《不动产权证》</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/《房地产权证》</w:t>
            </w:r>
          </w:p>
        </w:tc>
        <w:tc>
          <w:tcPr>
            <w:tcW w:w="960" w:type="dxa"/>
            <w:vMerge w:val="continue"/>
            <w:tcBorders>
              <w:top w:val="nil"/>
            </w:tcBorders>
            <w:vAlign w:val="top"/>
          </w:tcPr>
          <w:p>
            <w:pPr>
              <w:rPr>
                <w:rFonts w:ascii="Arial"/>
                <w:color w:val="000000" w:themeColor="text1"/>
                <w:sz w:val="21"/>
                <w14:textFill>
                  <w14:solidFill>
                    <w14:schemeClr w14:val="tx1"/>
                  </w14:solidFill>
                </w14:textFill>
              </w:rPr>
            </w:pPr>
          </w:p>
        </w:tc>
        <w:tc>
          <w:tcPr>
            <w:tcW w:w="2775" w:type="dxa"/>
            <w:vAlign w:val="top"/>
          </w:tcPr>
          <w:p>
            <w:pPr>
              <w:pStyle w:val="4"/>
              <w:spacing w:before="42" w:line="251" w:lineRule="auto"/>
              <w:ind w:left="115" w:right="102" w:firstLine="1"/>
              <w:jc w:val="both"/>
              <w:rPr>
                <w:color w:val="000000" w:themeColor="text1"/>
                <w14:textFill>
                  <w14:solidFill>
                    <w14:schemeClr w14:val="tx1"/>
                  </w14:solidFill>
                </w14:textFill>
              </w:rPr>
            </w:pPr>
            <w:r>
              <w:rPr>
                <w:color w:val="000000" w:themeColor="text1"/>
                <w:spacing w:val="9"/>
                <w14:textFill>
                  <w14:solidFill>
                    <w14:schemeClr w14:val="tx1"/>
                  </w14:solidFill>
                </w14:textFill>
              </w:rPr>
              <w:t>《房地产权证》（父母所持我区完全产权的住宅）以不动产登记部门核查登记日期为准，有效期限以最</w:t>
            </w:r>
            <w:r>
              <w:rPr>
                <w:color w:val="000000" w:themeColor="text1"/>
                <w:spacing w:val="-3"/>
                <w14:textFill>
                  <w14:solidFill>
                    <w14:schemeClr w14:val="tx1"/>
                  </w14:solidFill>
                </w14:textFill>
              </w:rPr>
              <w:t>近十年内、截至当年8月31日（持</w:t>
            </w:r>
            <w:r>
              <w:rPr>
                <w:color w:val="000000" w:themeColor="text1"/>
                <w:spacing w:val="9"/>
                <w14:textFill>
                  <w14:solidFill>
                    <w14:schemeClr w14:val="tx1"/>
                  </w14:solidFill>
                </w14:textFill>
              </w:rPr>
              <w:t>有在我区办理、有效的《广东省居</w:t>
            </w:r>
            <w:r>
              <w:rPr>
                <w:color w:val="000000" w:themeColor="text1"/>
                <w:spacing w:val="5"/>
                <w14:textFill>
                  <w14:solidFill>
                    <w14:schemeClr w14:val="tx1"/>
                  </w14:solidFill>
                </w14:textFill>
              </w:rPr>
              <w:t>住证》）。</w:t>
            </w:r>
          </w:p>
        </w:tc>
        <w:tc>
          <w:tcPr>
            <w:tcW w:w="1815" w:type="dxa"/>
            <w:vMerge w:val="continue"/>
            <w:tcBorders>
              <w:top w:val="nil"/>
            </w:tcBorders>
            <w:vAlign w:val="top"/>
          </w:tcPr>
          <w:p>
            <w:pPr>
              <w:rPr>
                <w:rFonts w:ascii="Arial"/>
                <w:color w:val="000000" w:themeColor="text1"/>
                <w:sz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1094" w:type="dxa"/>
            <w:vMerge w:val="restart"/>
            <w:tcBorders>
              <w:bottom w:val="nil"/>
            </w:tcBorders>
            <w:vAlign w:val="top"/>
          </w:tcPr>
          <w:p>
            <w:pPr>
              <w:spacing w:line="255" w:lineRule="auto"/>
              <w:rPr>
                <w:rFonts w:ascii="Arial"/>
                <w:color w:val="000000" w:themeColor="text1"/>
                <w:sz w:val="21"/>
                <w14:textFill>
                  <w14:solidFill>
                    <w14:schemeClr w14:val="tx1"/>
                  </w14:solidFill>
                </w14:textFill>
              </w:rPr>
            </w:pPr>
          </w:p>
          <w:p>
            <w:pPr>
              <w:spacing w:line="255" w:lineRule="auto"/>
              <w:rPr>
                <w:rFonts w:ascii="Arial"/>
                <w:color w:val="000000" w:themeColor="text1"/>
                <w:sz w:val="21"/>
                <w14:textFill>
                  <w14:solidFill>
                    <w14:schemeClr w14:val="tx1"/>
                  </w14:solidFill>
                </w14:textFill>
              </w:rPr>
            </w:pPr>
          </w:p>
          <w:p>
            <w:pPr>
              <w:spacing w:line="255" w:lineRule="auto"/>
              <w:rPr>
                <w:rFonts w:ascii="Arial"/>
                <w:color w:val="000000" w:themeColor="text1"/>
                <w:sz w:val="21"/>
                <w14:textFill>
                  <w14:solidFill>
                    <w14:schemeClr w14:val="tx1"/>
                  </w14:solidFill>
                </w14:textFill>
              </w:rPr>
            </w:pPr>
          </w:p>
          <w:p>
            <w:pPr>
              <w:spacing w:line="255" w:lineRule="auto"/>
              <w:rPr>
                <w:rFonts w:ascii="Arial"/>
                <w:color w:val="000000" w:themeColor="text1"/>
                <w:sz w:val="21"/>
                <w14:textFill>
                  <w14:solidFill>
                    <w14:schemeClr w14:val="tx1"/>
                  </w14:solidFill>
                </w14:textFill>
              </w:rPr>
            </w:pPr>
          </w:p>
          <w:p>
            <w:pPr>
              <w:spacing w:line="255" w:lineRule="auto"/>
              <w:rPr>
                <w:rFonts w:ascii="Arial"/>
                <w:color w:val="000000" w:themeColor="text1"/>
                <w:sz w:val="21"/>
                <w14:textFill>
                  <w14:solidFill>
                    <w14:schemeClr w14:val="tx1"/>
                  </w14:solidFill>
                </w14:textFill>
              </w:rPr>
            </w:pPr>
          </w:p>
          <w:p>
            <w:pPr>
              <w:spacing w:line="256" w:lineRule="auto"/>
              <w:rPr>
                <w:rFonts w:ascii="Arial"/>
                <w:color w:val="000000" w:themeColor="text1"/>
                <w:sz w:val="21"/>
                <w14:textFill>
                  <w14:solidFill>
                    <w14:schemeClr w14:val="tx1"/>
                  </w14:solidFill>
                </w14:textFill>
              </w:rPr>
            </w:pPr>
          </w:p>
          <w:p>
            <w:pPr>
              <w:pStyle w:val="4"/>
              <w:spacing w:before="65" w:line="257" w:lineRule="auto"/>
              <w:ind w:left="198" w:right="193" w:firstLine="59"/>
              <w:rPr>
                <w:color w:val="000000" w:themeColor="text1"/>
                <w14:textFill>
                  <w14:solidFill>
                    <w14:schemeClr w14:val="tx1"/>
                  </w14:solidFill>
                </w14:textFill>
              </w:rPr>
            </w:pPr>
            <w:r>
              <w:rPr>
                <w:color w:val="000000" w:themeColor="text1"/>
                <w:spacing w:val="6"/>
                <w14:textFill>
                  <w14:solidFill>
                    <w14:schemeClr w14:val="tx1"/>
                  </w14:solidFill>
                </w14:textFill>
              </w:rPr>
              <w:t>职业资格</w:t>
            </w:r>
            <w:r>
              <w:rPr>
                <w:color w:val="000000" w:themeColor="text1"/>
                <w:spacing w:val="7"/>
                <w14:textFill>
                  <w14:solidFill>
                    <w14:schemeClr w14:val="tx1"/>
                  </w14:solidFill>
                </w14:textFill>
              </w:rPr>
              <w:t>/文化程度</w:t>
            </w:r>
          </w:p>
        </w:tc>
        <w:tc>
          <w:tcPr>
            <w:tcW w:w="675" w:type="dxa"/>
            <w:vMerge w:val="restart"/>
            <w:tcBorders>
              <w:bottom w:val="nil"/>
            </w:tcBorders>
            <w:vAlign w:val="top"/>
          </w:tcPr>
          <w:p>
            <w:pPr>
              <w:spacing w:line="276" w:lineRule="auto"/>
              <w:rPr>
                <w:rFonts w:ascii="Arial"/>
                <w:color w:val="000000" w:themeColor="text1"/>
                <w:sz w:val="21"/>
                <w14:textFill>
                  <w14:solidFill>
                    <w14:schemeClr w14:val="tx1"/>
                  </w14:solidFill>
                </w14:textFill>
              </w:rPr>
            </w:pPr>
          </w:p>
          <w:p>
            <w:pPr>
              <w:spacing w:line="277" w:lineRule="auto"/>
              <w:rPr>
                <w:rFonts w:ascii="Arial"/>
                <w:color w:val="000000" w:themeColor="text1"/>
                <w:sz w:val="21"/>
                <w14:textFill>
                  <w14:solidFill>
                    <w14:schemeClr w14:val="tx1"/>
                  </w14:solidFill>
                </w14:textFill>
              </w:rPr>
            </w:pPr>
          </w:p>
          <w:p>
            <w:pPr>
              <w:spacing w:line="277" w:lineRule="auto"/>
              <w:rPr>
                <w:rFonts w:ascii="Arial"/>
                <w:color w:val="000000" w:themeColor="text1"/>
                <w:sz w:val="21"/>
                <w14:textFill>
                  <w14:solidFill>
                    <w14:schemeClr w14:val="tx1"/>
                  </w14:solidFill>
                </w14:textFill>
              </w:rPr>
            </w:pPr>
          </w:p>
          <w:p>
            <w:pPr>
              <w:pStyle w:val="4"/>
              <w:spacing w:before="65" w:line="259" w:lineRule="auto"/>
              <w:ind w:left="168" w:right="111" w:hanging="11"/>
              <w:rPr>
                <w:color w:val="000000" w:themeColor="text1"/>
                <w14:textFill>
                  <w14:solidFill>
                    <w14:schemeClr w14:val="tx1"/>
                  </w14:solidFill>
                </w14:textFill>
              </w:rPr>
            </w:pPr>
            <w:r>
              <w:rPr>
                <w:color w:val="000000" w:themeColor="text1"/>
                <w:spacing w:val="-17"/>
                <w14:textFill>
                  <w14:solidFill>
                    <w14:schemeClr w14:val="tx1"/>
                  </w14:solidFill>
                </w14:textFill>
              </w:rPr>
              <w:t>职业</w:t>
            </w:r>
            <w:r>
              <w:rPr>
                <w:color w:val="000000" w:themeColor="text1"/>
                <w:spacing w:val="-23"/>
                <w14:textFill>
                  <w14:solidFill>
                    <w14:schemeClr w14:val="tx1"/>
                  </w14:solidFill>
                </w14:textFill>
              </w:rPr>
              <w:t>资格</w:t>
            </w:r>
          </w:p>
        </w:tc>
        <w:tc>
          <w:tcPr>
            <w:tcW w:w="1410" w:type="dxa"/>
            <w:vAlign w:val="top"/>
          </w:tcPr>
          <w:p>
            <w:pPr>
              <w:pStyle w:val="4"/>
              <w:spacing w:before="45" w:line="232" w:lineRule="auto"/>
              <w:ind w:left="529"/>
              <w:rPr>
                <w:color w:val="000000" w:themeColor="text1"/>
                <w14:textFill>
                  <w14:solidFill>
                    <w14:schemeClr w14:val="tx1"/>
                  </w14:solidFill>
                </w14:textFill>
              </w:rPr>
            </w:pPr>
            <w:r>
              <w:rPr>
                <w:color w:val="000000" w:themeColor="text1"/>
                <w:spacing w:val="-6"/>
                <w14:textFill>
                  <w14:solidFill>
                    <w14:schemeClr w14:val="tx1"/>
                  </w14:solidFill>
                </w14:textFill>
              </w:rPr>
              <w:t>四级</w:t>
            </w:r>
          </w:p>
          <w:p>
            <w:pPr>
              <w:pStyle w:val="4"/>
              <w:spacing w:before="26" w:line="215" w:lineRule="auto"/>
              <w:ind w:left="122"/>
              <w:rPr>
                <w:color w:val="000000" w:themeColor="text1"/>
                <w14:textFill>
                  <w14:solidFill>
                    <w14:schemeClr w14:val="tx1"/>
                  </w14:solidFill>
                </w14:textFill>
              </w:rPr>
            </w:pPr>
            <w:r>
              <w:rPr>
                <w:color w:val="000000" w:themeColor="text1"/>
                <w:spacing w:val="3"/>
                <w14:textFill>
                  <w14:solidFill>
                    <w14:schemeClr w14:val="tx1"/>
                  </w14:solidFill>
                </w14:textFill>
              </w:rPr>
              <w:t>（中级技工）</w:t>
            </w:r>
          </w:p>
        </w:tc>
        <w:tc>
          <w:tcPr>
            <w:tcW w:w="960" w:type="dxa"/>
            <w:vAlign w:val="top"/>
          </w:tcPr>
          <w:p>
            <w:pPr>
              <w:pStyle w:val="4"/>
              <w:spacing w:before="184" w:line="232" w:lineRule="auto"/>
              <w:ind w:left="327"/>
              <w:rPr>
                <w:color w:val="000000" w:themeColor="text1"/>
                <w14:textFill>
                  <w14:solidFill>
                    <w14:schemeClr w14:val="tx1"/>
                  </w14:solidFill>
                </w14:textFill>
              </w:rPr>
            </w:pPr>
            <w:r>
              <w:rPr>
                <w:color w:val="000000" w:themeColor="text1"/>
                <w:spacing w:val="-5"/>
                <w14:textFill>
                  <w14:solidFill>
                    <w14:schemeClr w14:val="tx1"/>
                  </w14:solidFill>
                </w14:textFill>
              </w:rPr>
              <w:t>10分</w:t>
            </w:r>
          </w:p>
        </w:tc>
        <w:tc>
          <w:tcPr>
            <w:tcW w:w="2775" w:type="dxa"/>
            <w:vMerge w:val="restart"/>
            <w:tcBorders>
              <w:bottom w:val="nil"/>
            </w:tcBorders>
            <w:vAlign w:val="top"/>
          </w:tcPr>
          <w:p>
            <w:pPr>
              <w:spacing w:line="412" w:lineRule="auto"/>
              <w:rPr>
                <w:rFonts w:ascii="Arial"/>
                <w:color w:val="000000" w:themeColor="text1"/>
                <w:sz w:val="21"/>
                <w14:textFill>
                  <w14:solidFill>
                    <w14:schemeClr w14:val="tx1"/>
                  </w14:solidFill>
                </w14:textFill>
              </w:rPr>
            </w:pPr>
          </w:p>
          <w:p>
            <w:pPr>
              <w:pStyle w:val="4"/>
              <w:spacing w:before="65" w:line="258" w:lineRule="auto"/>
              <w:ind w:left="121" w:right="107" w:hanging="4"/>
              <w:rPr>
                <w:color w:val="000000" w:themeColor="text1"/>
                <w14:textFill>
                  <w14:solidFill>
                    <w14:schemeClr w14:val="tx1"/>
                  </w14:solidFill>
                </w14:textFill>
              </w:rPr>
            </w:pPr>
            <w:r>
              <w:rPr>
                <w:color w:val="000000" w:themeColor="text1"/>
                <w:spacing w:val="9"/>
                <w14:textFill>
                  <w14:solidFill>
                    <w14:schemeClr w14:val="tx1"/>
                  </w14:solidFill>
                </w14:textFill>
              </w:rPr>
              <w:t>职业资格按所持最高等级计分，以国家职业资格证书全国联网查询系</w:t>
            </w:r>
            <w:r>
              <w:rPr>
                <w:color w:val="000000" w:themeColor="text1"/>
                <w:spacing w:val="6"/>
                <w14:textFill>
                  <w14:solidFill>
                    <w14:schemeClr w14:val="tx1"/>
                  </w14:solidFill>
                </w14:textFill>
              </w:rPr>
              <w:t>统查验信息</w:t>
            </w:r>
          </w:p>
          <w:p>
            <w:pPr>
              <w:pStyle w:val="4"/>
              <w:spacing w:before="1" w:line="259" w:lineRule="auto"/>
              <w:ind w:left="121" w:right="116" w:firstLine="1"/>
              <w:rPr>
                <w:color w:val="000000" w:themeColor="text1"/>
                <w14:textFill>
                  <w14:solidFill>
                    <w14:schemeClr w14:val="tx1"/>
                  </w14:solidFill>
                </w14:textFill>
              </w:rPr>
            </w:pPr>
            <w:r>
              <w:rPr>
                <w:color w:val="000000" w:themeColor="text1"/>
                <w:spacing w:val="13"/>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"http://www.osta.org.cn"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http</w:t>
            </w:r>
            <w:r>
              <w:rPr>
                <w:color w:val="000000" w:themeColor="text1"/>
                <w:spacing w:val="13"/>
                <w14:textFill>
                  <w14:solidFill>
                    <w14:schemeClr w14:val="tx1"/>
                  </w14:solidFill>
                </w14:textFill>
              </w:rPr>
              <w:t>://</w:t>
            </w:r>
            <w:r>
              <w:rPr>
                <w:color w:val="000000" w:themeColor="text1"/>
                <w14:textFill>
                  <w14:solidFill>
                    <w14:schemeClr w14:val="tx1"/>
                  </w14:solidFill>
                </w14:textFill>
              </w:rPr>
              <w:t>www</w:t>
            </w:r>
            <w:r>
              <w:rPr>
                <w:color w:val="000000" w:themeColor="text1"/>
                <w:spacing w:val="13"/>
                <w14:textFill>
                  <w14:solidFill>
                    <w14:schemeClr w14:val="tx1"/>
                  </w14:solidFill>
                </w14:textFill>
              </w:rPr>
              <w:t>.</w:t>
            </w:r>
            <w:r>
              <w:rPr>
                <w:color w:val="000000" w:themeColor="text1"/>
                <w14:textFill>
                  <w14:solidFill>
                    <w14:schemeClr w14:val="tx1"/>
                  </w14:solidFill>
                </w14:textFill>
              </w:rPr>
              <w:t>osta</w:t>
            </w:r>
            <w:r>
              <w:rPr>
                <w:color w:val="000000" w:themeColor="text1"/>
                <w:spacing w:val="13"/>
                <w14:textFill>
                  <w14:solidFill>
                    <w14:schemeClr w14:val="tx1"/>
                  </w14:solidFill>
                </w14:textFill>
              </w:rPr>
              <w:t>.</w:t>
            </w:r>
            <w:r>
              <w:rPr>
                <w:color w:val="000000" w:themeColor="text1"/>
                <w14:textFill>
                  <w14:solidFill>
                    <w14:schemeClr w14:val="tx1"/>
                  </w14:solidFill>
                </w14:textFill>
              </w:rPr>
              <w:t>org</w:t>
            </w:r>
            <w:r>
              <w:rPr>
                <w:color w:val="000000" w:themeColor="text1"/>
                <w:spacing w:val="13"/>
                <w14:textFill>
                  <w14:solidFill>
                    <w14:schemeClr w14:val="tx1"/>
                  </w14:solidFill>
                </w14:textFill>
              </w:rPr>
              <w:t>.</w:t>
            </w:r>
            <w:r>
              <w:rPr>
                <w:color w:val="000000" w:themeColor="text1"/>
                <w14:textFill>
                  <w14:solidFill>
                    <w14:schemeClr w14:val="tx1"/>
                  </w14:solidFill>
                </w14:textFill>
              </w:rPr>
              <w:t>cn</w:t>
            </w:r>
            <w:r>
              <w:rPr>
                <w:color w:val="000000" w:themeColor="text1"/>
                <w14:textFill>
                  <w14:solidFill>
                    <w14:schemeClr w14:val="tx1"/>
                  </w14:solidFill>
                </w14:textFill>
              </w:rPr>
              <w:fldChar w:fldCharType="end"/>
            </w:r>
            <w:r>
              <w:rPr>
                <w:color w:val="000000" w:themeColor="text1"/>
                <w:spacing w:val="13"/>
                <w14:textFill>
                  <w14:solidFill>
                    <w14:schemeClr w14:val="tx1"/>
                  </w14:solidFill>
                </w14:textFill>
              </w:rPr>
              <w:t>）和市</w:t>
            </w:r>
            <w:r>
              <w:rPr>
                <w:color w:val="000000" w:themeColor="text1"/>
                <w:spacing w:val="6"/>
                <w14:textFill>
                  <w14:solidFill>
                    <w14:schemeClr w14:val="tx1"/>
                  </w14:solidFill>
                </w14:textFill>
              </w:rPr>
              <w:t>人社部门核查为准。</w:t>
            </w:r>
          </w:p>
        </w:tc>
        <w:tc>
          <w:tcPr>
            <w:tcW w:w="1815" w:type="dxa"/>
            <w:vMerge w:val="restart"/>
            <w:tcBorders>
              <w:bottom w:val="nil"/>
            </w:tcBorders>
            <w:vAlign w:val="top"/>
          </w:tcPr>
          <w:p>
            <w:pPr>
              <w:spacing w:line="243" w:lineRule="auto"/>
              <w:rPr>
                <w:rFonts w:ascii="Arial"/>
                <w:color w:val="000000" w:themeColor="text1"/>
                <w:sz w:val="21"/>
                <w14:textFill>
                  <w14:solidFill>
                    <w14:schemeClr w14:val="tx1"/>
                  </w14:solidFill>
                </w14:textFill>
              </w:rPr>
            </w:pPr>
          </w:p>
          <w:p>
            <w:pPr>
              <w:spacing w:line="243" w:lineRule="auto"/>
              <w:rPr>
                <w:rFonts w:ascii="Arial"/>
                <w:color w:val="000000" w:themeColor="text1"/>
                <w:sz w:val="21"/>
                <w14:textFill>
                  <w14:solidFill>
                    <w14:schemeClr w14:val="tx1"/>
                  </w14:solidFill>
                </w14:textFill>
              </w:rPr>
            </w:pPr>
          </w:p>
          <w:p>
            <w:pPr>
              <w:spacing w:line="243" w:lineRule="auto"/>
              <w:rPr>
                <w:rFonts w:ascii="Arial"/>
                <w:color w:val="000000" w:themeColor="text1"/>
                <w:sz w:val="21"/>
                <w14:textFill>
                  <w14:solidFill>
                    <w14:schemeClr w14:val="tx1"/>
                  </w14:solidFill>
                </w14:textFill>
              </w:rPr>
            </w:pPr>
          </w:p>
          <w:p>
            <w:pPr>
              <w:spacing w:line="243" w:lineRule="auto"/>
              <w:rPr>
                <w:rFonts w:ascii="Arial"/>
                <w:color w:val="000000" w:themeColor="text1"/>
                <w:sz w:val="21"/>
                <w14:textFill>
                  <w14:solidFill>
                    <w14:schemeClr w14:val="tx1"/>
                  </w14:solidFill>
                </w14:textFill>
              </w:rPr>
            </w:pPr>
          </w:p>
          <w:p>
            <w:pPr>
              <w:pStyle w:val="4"/>
              <w:spacing w:before="65" w:line="259" w:lineRule="auto"/>
              <w:ind w:left="121" w:right="109"/>
              <w:jc w:val="both"/>
              <w:rPr>
                <w:color w:val="000000" w:themeColor="text1"/>
                <w14:textFill>
                  <w14:solidFill>
                    <w14:schemeClr w14:val="tx1"/>
                  </w14:solidFill>
                </w14:textFill>
              </w:rPr>
            </w:pPr>
            <w:r>
              <w:rPr>
                <w:color w:val="000000" w:themeColor="text1"/>
                <w:spacing w:val="16"/>
                <w14:textFill>
                  <w14:solidFill>
                    <w14:schemeClr w14:val="tx1"/>
                  </w14:solidFill>
                </w14:textFill>
              </w:rPr>
              <w:t>职业资格、文化程度二者任择其</w:t>
            </w:r>
            <w:r>
              <w:rPr>
                <w:color w:val="000000" w:themeColor="text1"/>
                <w:spacing w:val="6"/>
                <w14:textFill>
                  <w14:solidFill>
                    <w14:schemeClr w14:val="tx1"/>
                  </w14:solidFill>
                </w14:textFill>
              </w:rPr>
              <w:t>一积分，就高不</w:t>
            </w:r>
            <w:r>
              <w:rPr>
                <w:color w:val="000000" w:themeColor="text1"/>
                <w:spacing w:val="16"/>
                <w14:textFill>
                  <w14:solidFill>
                    <w14:schemeClr w14:val="tx1"/>
                  </w14:solidFill>
                </w14:textFill>
              </w:rPr>
              <w:t>就低，不累加计</w:t>
            </w:r>
            <w:r>
              <w:rPr>
                <w:color w:val="000000" w:themeColor="text1"/>
                <w:spacing w:val="-8"/>
                <w14:textFill>
                  <w14:solidFill>
                    <w14:schemeClr w14:val="tx1"/>
                  </w14:solidFill>
                </w14:textFill>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094"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675"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1410" w:type="dxa"/>
            <w:vAlign w:val="top"/>
          </w:tcPr>
          <w:p>
            <w:pPr>
              <w:pStyle w:val="4"/>
              <w:spacing w:before="43" w:line="232" w:lineRule="auto"/>
              <w:ind w:left="510"/>
              <w:rPr>
                <w:color w:val="000000" w:themeColor="text1"/>
                <w14:textFill>
                  <w14:solidFill>
                    <w14:schemeClr w14:val="tx1"/>
                  </w14:solidFill>
                </w14:textFill>
              </w:rPr>
            </w:pPr>
            <w:r>
              <w:rPr>
                <w:color w:val="000000" w:themeColor="text1"/>
                <w:spacing w:val="-1"/>
                <w14:textFill>
                  <w14:solidFill>
                    <w14:schemeClr w14:val="tx1"/>
                  </w14:solidFill>
                </w14:textFill>
              </w:rPr>
              <w:t>三级</w:t>
            </w:r>
          </w:p>
          <w:p>
            <w:pPr>
              <w:pStyle w:val="4"/>
              <w:spacing w:before="28" w:line="212" w:lineRule="auto"/>
              <w:ind w:left="122"/>
              <w:rPr>
                <w:color w:val="000000" w:themeColor="text1"/>
                <w14:textFill>
                  <w14:solidFill>
                    <w14:schemeClr w14:val="tx1"/>
                  </w14:solidFill>
                </w14:textFill>
              </w:rPr>
            </w:pPr>
            <w:r>
              <w:rPr>
                <w:color w:val="000000" w:themeColor="text1"/>
                <w:spacing w:val="3"/>
                <w14:textFill>
                  <w14:solidFill>
                    <w14:schemeClr w14:val="tx1"/>
                  </w14:solidFill>
                </w14:textFill>
              </w:rPr>
              <w:t>（高级技工）</w:t>
            </w:r>
          </w:p>
        </w:tc>
        <w:tc>
          <w:tcPr>
            <w:tcW w:w="960" w:type="dxa"/>
            <w:vAlign w:val="top"/>
          </w:tcPr>
          <w:p>
            <w:pPr>
              <w:pStyle w:val="4"/>
              <w:spacing w:before="184" w:line="232" w:lineRule="auto"/>
              <w:ind w:left="327"/>
              <w:rPr>
                <w:color w:val="000000" w:themeColor="text1"/>
                <w14:textFill>
                  <w14:solidFill>
                    <w14:schemeClr w14:val="tx1"/>
                  </w14:solidFill>
                </w14:textFill>
              </w:rPr>
            </w:pPr>
            <w:r>
              <w:rPr>
                <w:color w:val="000000" w:themeColor="text1"/>
                <w:spacing w:val="-5"/>
                <w14:textFill>
                  <w14:solidFill>
                    <w14:schemeClr w14:val="tx1"/>
                  </w14:solidFill>
                </w14:textFill>
              </w:rPr>
              <w:t>15分</w:t>
            </w:r>
          </w:p>
        </w:tc>
        <w:tc>
          <w:tcPr>
            <w:tcW w:w="2775"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1815" w:type="dxa"/>
            <w:vMerge w:val="continue"/>
            <w:tcBorders>
              <w:top w:val="nil"/>
              <w:bottom w:val="nil"/>
            </w:tcBorders>
            <w:vAlign w:val="top"/>
          </w:tcPr>
          <w:p>
            <w:pPr>
              <w:rPr>
                <w:rFonts w:ascii="Arial"/>
                <w:color w:val="000000" w:themeColor="text1"/>
                <w:sz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1094"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675"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1410" w:type="dxa"/>
            <w:vAlign w:val="top"/>
          </w:tcPr>
          <w:p>
            <w:pPr>
              <w:pStyle w:val="4"/>
              <w:spacing w:before="46" w:line="235" w:lineRule="auto"/>
              <w:ind w:left="300" w:right="303" w:firstLine="210"/>
              <w:rPr>
                <w:color w:val="000000" w:themeColor="text1"/>
                <w14:textFill>
                  <w14:solidFill>
                    <w14:schemeClr w14:val="tx1"/>
                  </w14:solidFill>
                </w14:textFill>
              </w:rPr>
            </w:pPr>
            <w:r>
              <w:rPr>
                <w:color w:val="000000" w:themeColor="text1"/>
                <w:spacing w:val="-2"/>
                <w14:textFill>
                  <w14:solidFill>
                    <w14:schemeClr w14:val="tx1"/>
                  </w14:solidFill>
                </w14:textFill>
              </w:rPr>
              <w:t>二级</w:t>
            </w:r>
            <w:r>
              <w:rPr>
                <w:color w:val="000000" w:themeColor="text1"/>
                <w14:textFill>
                  <w14:solidFill>
                    <w14:schemeClr w14:val="tx1"/>
                  </w14:solidFill>
                </w14:textFill>
              </w:rPr>
              <w:t>（技师）</w:t>
            </w:r>
          </w:p>
        </w:tc>
        <w:tc>
          <w:tcPr>
            <w:tcW w:w="960" w:type="dxa"/>
            <w:vAlign w:val="top"/>
          </w:tcPr>
          <w:p>
            <w:pPr>
              <w:pStyle w:val="4"/>
              <w:spacing w:before="185" w:line="232" w:lineRule="auto"/>
              <w:ind w:left="314"/>
              <w:rPr>
                <w:color w:val="000000" w:themeColor="text1"/>
                <w14:textFill>
                  <w14:solidFill>
                    <w14:schemeClr w14:val="tx1"/>
                  </w14:solidFill>
                </w14:textFill>
              </w:rPr>
            </w:pPr>
            <w:r>
              <w:rPr>
                <w:color w:val="000000" w:themeColor="text1"/>
                <w14:textFill>
                  <w14:solidFill>
                    <w14:schemeClr w14:val="tx1"/>
                  </w14:solidFill>
                </w14:textFill>
              </w:rPr>
              <w:t>25分</w:t>
            </w:r>
          </w:p>
        </w:tc>
        <w:tc>
          <w:tcPr>
            <w:tcW w:w="2775"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1815" w:type="dxa"/>
            <w:vMerge w:val="continue"/>
            <w:tcBorders>
              <w:top w:val="nil"/>
              <w:bottom w:val="nil"/>
            </w:tcBorders>
            <w:vAlign w:val="top"/>
          </w:tcPr>
          <w:p>
            <w:pPr>
              <w:rPr>
                <w:rFonts w:ascii="Arial"/>
                <w:color w:val="000000" w:themeColor="text1"/>
                <w:sz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94"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675" w:type="dxa"/>
            <w:vMerge w:val="continue"/>
            <w:tcBorders>
              <w:top w:val="nil"/>
            </w:tcBorders>
            <w:vAlign w:val="top"/>
          </w:tcPr>
          <w:p>
            <w:pPr>
              <w:rPr>
                <w:rFonts w:ascii="Arial"/>
                <w:color w:val="000000" w:themeColor="text1"/>
                <w:sz w:val="21"/>
                <w14:textFill>
                  <w14:solidFill>
                    <w14:schemeClr w14:val="tx1"/>
                  </w14:solidFill>
                </w14:textFill>
              </w:rPr>
            </w:pPr>
          </w:p>
        </w:tc>
        <w:tc>
          <w:tcPr>
            <w:tcW w:w="1410" w:type="dxa"/>
            <w:vAlign w:val="top"/>
          </w:tcPr>
          <w:p>
            <w:pPr>
              <w:pStyle w:val="4"/>
              <w:spacing w:before="44" w:line="232" w:lineRule="auto"/>
              <w:ind w:left="507"/>
              <w:rPr>
                <w:color w:val="000000" w:themeColor="text1"/>
                <w14:textFill>
                  <w14:solidFill>
                    <w14:schemeClr w14:val="tx1"/>
                  </w14:solidFill>
                </w14:textFill>
              </w:rPr>
            </w:pPr>
            <w:r>
              <w:rPr>
                <w:color w:val="000000" w:themeColor="text1"/>
                <w14:textFill>
                  <w14:solidFill>
                    <w14:schemeClr w14:val="tx1"/>
                  </w14:solidFill>
                </w14:textFill>
              </w:rPr>
              <w:t>一级</w:t>
            </w:r>
          </w:p>
          <w:p>
            <w:pPr>
              <w:pStyle w:val="4"/>
              <w:spacing w:before="28" w:line="211" w:lineRule="auto"/>
              <w:ind w:left="122"/>
              <w:rPr>
                <w:color w:val="000000" w:themeColor="text1"/>
                <w14:textFill>
                  <w14:solidFill>
                    <w14:schemeClr w14:val="tx1"/>
                  </w14:solidFill>
                </w14:textFill>
              </w:rPr>
            </w:pPr>
            <w:r>
              <w:rPr>
                <w:color w:val="000000" w:themeColor="text1"/>
                <w:spacing w:val="3"/>
                <w14:textFill>
                  <w14:solidFill>
                    <w14:schemeClr w14:val="tx1"/>
                  </w14:solidFill>
                </w14:textFill>
              </w:rPr>
              <w:t>（高级技师）</w:t>
            </w:r>
          </w:p>
        </w:tc>
        <w:tc>
          <w:tcPr>
            <w:tcW w:w="960" w:type="dxa"/>
            <w:vAlign w:val="top"/>
          </w:tcPr>
          <w:p>
            <w:pPr>
              <w:pStyle w:val="4"/>
              <w:spacing w:before="185" w:line="232" w:lineRule="auto"/>
              <w:ind w:left="316"/>
              <w:rPr>
                <w:color w:val="000000" w:themeColor="text1"/>
                <w14:textFill>
                  <w14:solidFill>
                    <w14:schemeClr w14:val="tx1"/>
                  </w14:solidFill>
                </w14:textFill>
              </w:rPr>
            </w:pPr>
            <w:r>
              <w:rPr>
                <w:color w:val="000000" w:themeColor="text1"/>
                <w:spacing w:val="-1"/>
                <w14:textFill>
                  <w14:solidFill>
                    <w14:schemeClr w14:val="tx1"/>
                  </w14:solidFill>
                </w14:textFill>
              </w:rPr>
              <w:t>30分</w:t>
            </w:r>
          </w:p>
        </w:tc>
        <w:tc>
          <w:tcPr>
            <w:tcW w:w="2775" w:type="dxa"/>
            <w:vMerge w:val="continue"/>
            <w:tcBorders>
              <w:top w:val="nil"/>
            </w:tcBorders>
            <w:vAlign w:val="top"/>
          </w:tcPr>
          <w:p>
            <w:pPr>
              <w:rPr>
                <w:rFonts w:ascii="Arial"/>
                <w:color w:val="000000" w:themeColor="text1"/>
                <w:sz w:val="21"/>
                <w14:textFill>
                  <w14:solidFill>
                    <w14:schemeClr w14:val="tx1"/>
                  </w14:solidFill>
                </w14:textFill>
              </w:rPr>
            </w:pPr>
          </w:p>
        </w:tc>
        <w:tc>
          <w:tcPr>
            <w:tcW w:w="1815" w:type="dxa"/>
            <w:vMerge w:val="continue"/>
            <w:tcBorders>
              <w:top w:val="nil"/>
              <w:bottom w:val="nil"/>
            </w:tcBorders>
            <w:vAlign w:val="top"/>
          </w:tcPr>
          <w:p>
            <w:pPr>
              <w:rPr>
                <w:rFonts w:ascii="Arial"/>
                <w:color w:val="000000" w:themeColor="text1"/>
                <w:sz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94"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675" w:type="dxa"/>
            <w:vMerge w:val="restart"/>
            <w:tcBorders>
              <w:bottom w:val="nil"/>
            </w:tcBorders>
            <w:vAlign w:val="top"/>
          </w:tcPr>
          <w:p>
            <w:pPr>
              <w:spacing w:line="399" w:lineRule="auto"/>
              <w:rPr>
                <w:rFonts w:ascii="Arial"/>
                <w:color w:val="000000" w:themeColor="text1"/>
                <w:sz w:val="21"/>
                <w14:textFill>
                  <w14:solidFill>
                    <w14:schemeClr w14:val="tx1"/>
                  </w14:solidFill>
                </w14:textFill>
              </w:rPr>
            </w:pPr>
          </w:p>
          <w:p>
            <w:pPr>
              <w:pStyle w:val="4"/>
              <w:spacing w:before="65" w:line="258" w:lineRule="auto"/>
              <w:ind w:left="159" w:right="111" w:hanging="1"/>
              <w:rPr>
                <w:color w:val="000000" w:themeColor="text1"/>
                <w14:textFill>
                  <w14:solidFill>
                    <w14:schemeClr w14:val="tx1"/>
                  </w14:solidFill>
                </w14:textFill>
              </w:rPr>
            </w:pPr>
            <w:r>
              <w:rPr>
                <w:color w:val="000000" w:themeColor="text1"/>
                <w:spacing w:val="-18"/>
                <w14:textFill>
                  <w14:solidFill>
                    <w14:schemeClr w14:val="tx1"/>
                  </w14:solidFill>
                </w14:textFill>
              </w:rPr>
              <w:t>文化</w:t>
            </w:r>
            <w:r>
              <w:rPr>
                <w:color w:val="000000" w:themeColor="text1"/>
                <w:spacing w:val="-19"/>
                <w14:textFill>
                  <w14:solidFill>
                    <w14:schemeClr w14:val="tx1"/>
                  </w14:solidFill>
                </w14:textFill>
              </w:rPr>
              <w:t>程度</w:t>
            </w:r>
          </w:p>
        </w:tc>
        <w:tc>
          <w:tcPr>
            <w:tcW w:w="1410" w:type="dxa"/>
            <w:vAlign w:val="top"/>
          </w:tcPr>
          <w:p>
            <w:pPr>
              <w:pStyle w:val="4"/>
              <w:spacing w:before="93" w:line="232" w:lineRule="auto"/>
              <w:ind w:left="506"/>
              <w:rPr>
                <w:color w:val="000000" w:themeColor="text1"/>
                <w14:textFill>
                  <w14:solidFill>
                    <w14:schemeClr w14:val="tx1"/>
                  </w14:solidFill>
                </w14:textFill>
              </w:rPr>
            </w:pPr>
            <w:r>
              <w:rPr>
                <w:color w:val="000000" w:themeColor="text1"/>
                <w14:textFill>
                  <w14:solidFill>
                    <w14:schemeClr w14:val="tx1"/>
                  </w14:solidFill>
                </w14:textFill>
              </w:rPr>
              <w:t>大专</w:t>
            </w:r>
          </w:p>
        </w:tc>
        <w:tc>
          <w:tcPr>
            <w:tcW w:w="960" w:type="dxa"/>
            <w:vAlign w:val="top"/>
          </w:tcPr>
          <w:p>
            <w:pPr>
              <w:pStyle w:val="4"/>
              <w:spacing w:before="93" w:line="232" w:lineRule="auto"/>
              <w:ind w:left="314"/>
              <w:rPr>
                <w:color w:val="000000" w:themeColor="text1"/>
                <w14:textFill>
                  <w14:solidFill>
                    <w14:schemeClr w14:val="tx1"/>
                  </w14:solidFill>
                </w14:textFill>
              </w:rPr>
            </w:pPr>
            <w:r>
              <w:rPr>
                <w:color w:val="000000" w:themeColor="text1"/>
                <w14:textFill>
                  <w14:solidFill>
                    <w14:schemeClr w14:val="tx1"/>
                  </w14:solidFill>
                </w14:textFill>
              </w:rPr>
              <w:t>20分</w:t>
            </w:r>
          </w:p>
        </w:tc>
        <w:tc>
          <w:tcPr>
            <w:tcW w:w="2775" w:type="dxa"/>
            <w:vMerge w:val="restart"/>
            <w:tcBorders>
              <w:bottom w:val="nil"/>
            </w:tcBorders>
            <w:vAlign w:val="top"/>
          </w:tcPr>
          <w:p>
            <w:pPr>
              <w:pStyle w:val="4"/>
              <w:spacing w:before="47" w:line="257" w:lineRule="auto"/>
              <w:ind w:left="117" w:right="17"/>
              <w:jc w:val="both"/>
              <w:rPr>
                <w:color w:val="000000" w:themeColor="text1"/>
                <w14:textFill>
                  <w14:solidFill>
                    <w14:schemeClr w14:val="tx1"/>
                  </w14:solidFill>
                </w14:textFill>
              </w:rPr>
            </w:pPr>
            <w:r>
              <w:rPr>
                <w:color w:val="000000" w:themeColor="text1"/>
                <w:spacing w:val="9"/>
                <w14:textFill>
                  <w14:solidFill>
                    <w14:schemeClr w14:val="tx1"/>
                  </w14:solidFill>
                </w14:textFill>
              </w:rPr>
              <w:t>文化程度按所持最高学历计分，以本人提供的《中国高等教育学历认</w:t>
            </w:r>
            <w:r>
              <w:rPr>
                <w:color w:val="000000" w:themeColor="text1"/>
                <w:spacing w:val="-10"/>
                <w14:textFill>
                  <w14:solidFill>
                    <w14:schemeClr w14:val="tx1"/>
                  </w14:solidFill>
                </w14:textFill>
              </w:rPr>
              <w:t>证报告》和学信 网</w:t>
            </w:r>
            <w:r>
              <w:rPr>
                <w:color w:val="000000" w:themeColor="text1"/>
                <w:spacing w:val="-25"/>
                <w14:textFill>
                  <w14:solidFill>
                    <w14:schemeClr w14:val="tx1"/>
                  </w14:solidFill>
                </w14:textFill>
              </w:rPr>
              <w:t xml:space="preserve"> </w:t>
            </w:r>
            <w:r>
              <w:rPr>
                <w:color w:val="000000" w:themeColor="text1"/>
                <w:spacing w:val="-10"/>
                <w14:textFill>
                  <w14:solidFill>
                    <w14:schemeClr w14:val="tx1"/>
                  </w14:solidFill>
                </w14:textFill>
              </w:rPr>
              <w:t>查</w:t>
            </w:r>
            <w:r>
              <w:rPr>
                <w:color w:val="000000" w:themeColor="text1"/>
                <w:spacing w:val="-29"/>
                <w14:textFill>
                  <w14:solidFill>
                    <w14:schemeClr w14:val="tx1"/>
                  </w14:solidFill>
                </w14:textFill>
              </w:rPr>
              <w:t xml:space="preserve"> </w:t>
            </w:r>
            <w:r>
              <w:rPr>
                <w:color w:val="000000" w:themeColor="text1"/>
                <w:spacing w:val="-10"/>
                <w14:textFill>
                  <w14:solidFill>
                    <w14:schemeClr w14:val="tx1"/>
                  </w14:solidFill>
                </w14:textFill>
              </w:rPr>
              <w:t>询</w:t>
            </w:r>
            <w:r>
              <w:rPr>
                <w:color w:val="000000" w:themeColor="text1"/>
                <w:spacing w:val="-19"/>
                <w14:textFill>
                  <w14:solidFill>
                    <w14:schemeClr w14:val="tx1"/>
                  </w14:solidFill>
                </w14:textFill>
              </w:rPr>
              <w:t xml:space="preserve"> </w:t>
            </w:r>
            <w:r>
              <w:rPr>
                <w:color w:val="000000" w:themeColor="text1"/>
                <w:spacing w:val="-10"/>
                <w14:textFill>
                  <w14:solidFill>
                    <w14:schemeClr w14:val="tx1"/>
                  </w14:solidFill>
                </w14:textFill>
              </w:rPr>
              <w:t>为</w:t>
            </w:r>
            <w:r>
              <w:rPr>
                <w:color w:val="000000" w:themeColor="text1"/>
                <w:spacing w:val="-24"/>
                <w14:textFill>
                  <w14:solidFill>
                    <w14:schemeClr w14:val="tx1"/>
                  </w14:solidFill>
                </w14:textFill>
              </w:rPr>
              <w:t xml:space="preserve"> </w:t>
            </w:r>
            <w:r>
              <w:rPr>
                <w:color w:val="000000" w:themeColor="text1"/>
                <w:spacing w:val="-10"/>
                <w14:textFill>
                  <w14:solidFill>
                    <w14:schemeClr w14:val="tx1"/>
                  </w14:solidFill>
                </w14:textFill>
              </w:rPr>
              <w:t>准</w:t>
            </w:r>
            <w:r>
              <w:rPr>
                <w:color w:val="000000" w:themeColor="text1"/>
                <w:spacing w:val="15"/>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"http://www.chsi.com.cn/xlrz"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http</w:t>
            </w:r>
            <w:r>
              <w:rPr>
                <w:color w:val="000000" w:themeColor="text1"/>
                <w:spacing w:val="15"/>
                <w14:textFill>
                  <w14:solidFill>
                    <w14:schemeClr w14:val="tx1"/>
                  </w14:solidFill>
                </w14:textFill>
              </w:rPr>
              <w:t>://</w:t>
            </w:r>
            <w:r>
              <w:rPr>
                <w:color w:val="000000" w:themeColor="text1"/>
                <w14:textFill>
                  <w14:solidFill>
                    <w14:schemeClr w14:val="tx1"/>
                  </w14:solidFill>
                </w14:textFill>
              </w:rPr>
              <w:t>www</w:t>
            </w:r>
            <w:r>
              <w:rPr>
                <w:color w:val="000000" w:themeColor="text1"/>
                <w:spacing w:val="15"/>
                <w14:textFill>
                  <w14:solidFill>
                    <w14:schemeClr w14:val="tx1"/>
                  </w14:solidFill>
                </w14:textFill>
              </w:rPr>
              <w:t>.</w:t>
            </w:r>
            <w:r>
              <w:rPr>
                <w:color w:val="000000" w:themeColor="text1"/>
                <w14:textFill>
                  <w14:solidFill>
                    <w14:schemeClr w14:val="tx1"/>
                  </w14:solidFill>
                </w14:textFill>
              </w:rPr>
              <w:t>chsi</w:t>
            </w:r>
            <w:r>
              <w:rPr>
                <w:color w:val="000000" w:themeColor="text1"/>
                <w:spacing w:val="15"/>
                <w14:textFill>
                  <w14:solidFill>
                    <w14:schemeClr w14:val="tx1"/>
                  </w14:solidFill>
                </w14:textFill>
              </w:rPr>
              <w:t>.</w:t>
            </w:r>
            <w:r>
              <w:rPr>
                <w:color w:val="000000" w:themeColor="text1"/>
                <w14:textFill>
                  <w14:solidFill>
                    <w14:schemeClr w14:val="tx1"/>
                  </w14:solidFill>
                </w14:textFill>
              </w:rPr>
              <w:t>com</w:t>
            </w:r>
            <w:r>
              <w:rPr>
                <w:color w:val="000000" w:themeColor="text1"/>
                <w:spacing w:val="15"/>
                <w14:textFill>
                  <w14:solidFill>
                    <w14:schemeClr w14:val="tx1"/>
                  </w14:solidFill>
                </w14:textFill>
              </w:rPr>
              <w:t>.</w:t>
            </w:r>
            <w:r>
              <w:rPr>
                <w:color w:val="000000" w:themeColor="text1"/>
                <w14:textFill>
                  <w14:solidFill>
                    <w14:schemeClr w14:val="tx1"/>
                  </w14:solidFill>
                </w14:textFill>
              </w:rPr>
              <w:t>cn</w:t>
            </w:r>
            <w:r>
              <w:rPr>
                <w:color w:val="000000" w:themeColor="text1"/>
                <w:spacing w:val="15"/>
                <w14:textFill>
                  <w14:solidFill>
                    <w14:schemeClr w14:val="tx1"/>
                  </w14:solidFill>
                </w14:textFill>
              </w:rPr>
              <w:t>/</w:t>
            </w:r>
            <w:r>
              <w:rPr>
                <w:color w:val="000000" w:themeColor="text1"/>
                <w14:textFill>
                  <w14:solidFill>
                    <w14:schemeClr w14:val="tx1"/>
                  </w14:solidFill>
                </w14:textFill>
              </w:rPr>
              <w:t>xlrz</w:t>
            </w:r>
            <w:r>
              <w:rPr>
                <w:color w:val="000000" w:themeColor="text1"/>
                <w14:textFill>
                  <w14:solidFill>
                    <w14:schemeClr w14:val="tx1"/>
                  </w14:solidFill>
                </w14:textFill>
              </w:rPr>
              <w:fldChar w:fldCharType="end"/>
            </w:r>
            <w:r>
              <w:rPr>
                <w:color w:val="000000" w:themeColor="text1"/>
                <w:spacing w:val="15"/>
                <w14:textFill>
                  <w14:solidFill>
                    <w14:schemeClr w14:val="tx1"/>
                  </w14:solidFill>
                </w14:textFill>
              </w:rPr>
              <w:t>）</w:t>
            </w:r>
            <w:r>
              <w:rPr>
                <w:color w:val="000000" w:themeColor="text1"/>
                <w:position w:val="1"/>
                <w14:textFill>
                  <w14:solidFill>
                    <w14:schemeClr w14:val="tx1"/>
                  </w14:solidFill>
                </w14:textFill>
              </w:rPr>
              <w:t>。</w:t>
            </w:r>
          </w:p>
        </w:tc>
        <w:tc>
          <w:tcPr>
            <w:tcW w:w="1815" w:type="dxa"/>
            <w:vMerge w:val="continue"/>
            <w:tcBorders>
              <w:top w:val="nil"/>
              <w:bottom w:val="nil"/>
            </w:tcBorders>
            <w:vAlign w:val="top"/>
          </w:tcPr>
          <w:p>
            <w:pPr>
              <w:rPr>
                <w:rFonts w:ascii="Arial"/>
                <w:color w:val="000000" w:themeColor="text1"/>
                <w:sz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094"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675"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1410" w:type="dxa"/>
            <w:vAlign w:val="top"/>
          </w:tcPr>
          <w:p>
            <w:pPr>
              <w:pStyle w:val="4"/>
              <w:spacing w:before="155" w:line="231" w:lineRule="auto"/>
              <w:ind w:left="546"/>
              <w:rPr>
                <w:color w:val="000000" w:themeColor="text1"/>
                <w14:textFill>
                  <w14:solidFill>
                    <w14:schemeClr w14:val="tx1"/>
                  </w14:solidFill>
                </w14:textFill>
              </w:rPr>
            </w:pPr>
            <w:r>
              <w:rPr>
                <w:color w:val="000000" w:themeColor="text1"/>
                <w:spacing w:val="-9"/>
                <w14:textFill>
                  <w14:solidFill>
                    <w14:schemeClr w14:val="tx1"/>
                  </w14:solidFill>
                </w14:textFill>
              </w:rPr>
              <w:t>本科</w:t>
            </w:r>
          </w:p>
        </w:tc>
        <w:tc>
          <w:tcPr>
            <w:tcW w:w="960" w:type="dxa"/>
            <w:vAlign w:val="top"/>
          </w:tcPr>
          <w:p>
            <w:pPr>
              <w:pStyle w:val="4"/>
              <w:spacing w:before="155" w:line="232" w:lineRule="auto"/>
              <w:ind w:left="316"/>
              <w:rPr>
                <w:color w:val="000000" w:themeColor="text1"/>
                <w14:textFill>
                  <w14:solidFill>
                    <w14:schemeClr w14:val="tx1"/>
                  </w14:solidFill>
                </w14:textFill>
              </w:rPr>
            </w:pPr>
            <w:r>
              <w:rPr>
                <w:color w:val="000000" w:themeColor="text1"/>
                <w:spacing w:val="-1"/>
                <w14:textFill>
                  <w14:solidFill>
                    <w14:schemeClr w14:val="tx1"/>
                  </w14:solidFill>
                </w14:textFill>
              </w:rPr>
              <w:t>30分</w:t>
            </w:r>
          </w:p>
        </w:tc>
        <w:tc>
          <w:tcPr>
            <w:tcW w:w="2775" w:type="dxa"/>
            <w:vMerge w:val="continue"/>
            <w:tcBorders>
              <w:top w:val="nil"/>
              <w:bottom w:val="nil"/>
            </w:tcBorders>
            <w:vAlign w:val="top"/>
          </w:tcPr>
          <w:p>
            <w:pPr>
              <w:rPr>
                <w:rFonts w:ascii="Arial"/>
                <w:color w:val="000000" w:themeColor="text1"/>
                <w:sz w:val="21"/>
                <w14:textFill>
                  <w14:solidFill>
                    <w14:schemeClr w14:val="tx1"/>
                  </w14:solidFill>
                </w14:textFill>
              </w:rPr>
            </w:pPr>
          </w:p>
        </w:tc>
        <w:tc>
          <w:tcPr>
            <w:tcW w:w="1815" w:type="dxa"/>
            <w:vMerge w:val="continue"/>
            <w:tcBorders>
              <w:top w:val="nil"/>
              <w:bottom w:val="nil"/>
            </w:tcBorders>
            <w:vAlign w:val="top"/>
          </w:tcPr>
          <w:p>
            <w:pPr>
              <w:rPr>
                <w:rFonts w:ascii="Arial"/>
                <w:color w:val="000000" w:themeColor="text1"/>
                <w:sz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trPr>
        <w:tc>
          <w:tcPr>
            <w:tcW w:w="1094" w:type="dxa"/>
            <w:vMerge w:val="continue"/>
            <w:tcBorders>
              <w:top w:val="nil"/>
            </w:tcBorders>
            <w:vAlign w:val="top"/>
          </w:tcPr>
          <w:p>
            <w:pPr>
              <w:rPr>
                <w:rFonts w:ascii="Arial"/>
                <w:color w:val="000000" w:themeColor="text1"/>
                <w:sz w:val="21"/>
                <w14:textFill>
                  <w14:solidFill>
                    <w14:schemeClr w14:val="tx1"/>
                  </w14:solidFill>
                </w14:textFill>
              </w:rPr>
            </w:pPr>
          </w:p>
        </w:tc>
        <w:tc>
          <w:tcPr>
            <w:tcW w:w="675" w:type="dxa"/>
            <w:vMerge w:val="continue"/>
            <w:tcBorders>
              <w:top w:val="nil"/>
            </w:tcBorders>
            <w:vAlign w:val="top"/>
          </w:tcPr>
          <w:p>
            <w:pPr>
              <w:rPr>
                <w:rFonts w:ascii="Arial"/>
                <w:color w:val="000000" w:themeColor="text1"/>
                <w:sz w:val="21"/>
                <w14:textFill>
                  <w14:solidFill>
                    <w14:schemeClr w14:val="tx1"/>
                  </w14:solidFill>
                </w14:textFill>
              </w:rPr>
            </w:pPr>
          </w:p>
        </w:tc>
        <w:tc>
          <w:tcPr>
            <w:tcW w:w="1410" w:type="dxa"/>
            <w:vAlign w:val="top"/>
          </w:tcPr>
          <w:p>
            <w:pPr>
              <w:pStyle w:val="4"/>
              <w:spacing w:before="160" w:line="232" w:lineRule="auto"/>
              <w:ind w:left="286"/>
              <w:rPr>
                <w:color w:val="000000" w:themeColor="text1"/>
                <w14:textFill>
                  <w14:solidFill>
                    <w14:schemeClr w14:val="tx1"/>
                  </w14:solidFill>
                </w14:textFill>
              </w:rPr>
            </w:pPr>
            <w:r>
              <w:rPr>
                <w:color w:val="000000" w:themeColor="text1"/>
                <w:spacing w:val="-19"/>
                <w14:textFill>
                  <w14:solidFill>
                    <w14:schemeClr w14:val="tx1"/>
                  </w14:solidFill>
                </w14:textFill>
              </w:rPr>
              <w:t>硕士研究生</w:t>
            </w:r>
          </w:p>
        </w:tc>
        <w:tc>
          <w:tcPr>
            <w:tcW w:w="960" w:type="dxa"/>
            <w:vAlign w:val="top"/>
          </w:tcPr>
          <w:p>
            <w:pPr>
              <w:pStyle w:val="4"/>
              <w:spacing w:before="160" w:line="232" w:lineRule="auto"/>
              <w:ind w:left="313"/>
              <w:rPr>
                <w:color w:val="000000" w:themeColor="text1"/>
                <w14:textFill>
                  <w14:solidFill>
                    <w14:schemeClr w14:val="tx1"/>
                  </w14:solidFill>
                </w14:textFill>
              </w:rPr>
            </w:pPr>
            <w:r>
              <w:rPr>
                <w:color w:val="000000" w:themeColor="text1"/>
                <w14:textFill>
                  <w14:solidFill>
                    <w14:schemeClr w14:val="tx1"/>
                  </w14:solidFill>
                </w14:textFill>
              </w:rPr>
              <w:t>60分</w:t>
            </w:r>
          </w:p>
        </w:tc>
        <w:tc>
          <w:tcPr>
            <w:tcW w:w="2775" w:type="dxa"/>
            <w:vMerge w:val="continue"/>
            <w:tcBorders>
              <w:top w:val="nil"/>
            </w:tcBorders>
            <w:vAlign w:val="top"/>
          </w:tcPr>
          <w:p>
            <w:pPr>
              <w:rPr>
                <w:rFonts w:ascii="Arial"/>
                <w:color w:val="000000" w:themeColor="text1"/>
                <w:sz w:val="21"/>
                <w14:textFill>
                  <w14:solidFill>
                    <w14:schemeClr w14:val="tx1"/>
                  </w14:solidFill>
                </w14:textFill>
              </w:rPr>
            </w:pPr>
          </w:p>
        </w:tc>
        <w:tc>
          <w:tcPr>
            <w:tcW w:w="1815" w:type="dxa"/>
            <w:vMerge w:val="continue"/>
            <w:tcBorders>
              <w:top w:val="nil"/>
            </w:tcBorders>
            <w:vAlign w:val="top"/>
          </w:tcPr>
          <w:p>
            <w:pPr>
              <w:rPr>
                <w:rFonts w:ascii="Arial"/>
                <w:color w:val="000000" w:themeColor="text1"/>
                <w:sz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3" w:hRule="atLeast"/>
        </w:trPr>
        <w:tc>
          <w:tcPr>
            <w:tcW w:w="1094" w:type="dxa"/>
            <w:vAlign w:val="top"/>
          </w:tcPr>
          <w:p>
            <w:pPr>
              <w:spacing w:line="301" w:lineRule="auto"/>
              <w:rPr>
                <w:rFonts w:ascii="Arial"/>
                <w:color w:val="000000" w:themeColor="text1"/>
                <w:sz w:val="21"/>
                <w14:textFill>
                  <w14:solidFill>
                    <w14:schemeClr w14:val="tx1"/>
                  </w14:solidFill>
                </w14:textFill>
              </w:rPr>
            </w:pPr>
          </w:p>
          <w:p>
            <w:pPr>
              <w:spacing w:line="302" w:lineRule="auto"/>
              <w:rPr>
                <w:rFonts w:ascii="Arial"/>
                <w:color w:val="000000" w:themeColor="text1"/>
                <w:sz w:val="21"/>
                <w14:textFill>
                  <w14:solidFill>
                    <w14:schemeClr w14:val="tx1"/>
                  </w14:solidFill>
                </w14:textFill>
              </w:rPr>
            </w:pPr>
          </w:p>
          <w:p>
            <w:pPr>
              <w:pStyle w:val="4"/>
              <w:spacing w:before="65" w:line="229" w:lineRule="auto"/>
              <w:ind w:left="261"/>
              <w:rPr>
                <w:color w:val="000000" w:themeColor="text1"/>
                <w14:textFill>
                  <w14:solidFill>
                    <w14:schemeClr w14:val="tx1"/>
                  </w14:solidFill>
                </w14:textFill>
              </w:rPr>
            </w:pPr>
            <w:r>
              <w:rPr>
                <w:color w:val="000000" w:themeColor="text1"/>
                <w:spacing w:val="5"/>
                <w14:textFill>
                  <w14:solidFill>
                    <w14:schemeClr w14:val="tx1"/>
                  </w14:solidFill>
                </w14:textFill>
              </w:rPr>
              <w:t>参保年限</w:t>
            </w:r>
          </w:p>
        </w:tc>
        <w:tc>
          <w:tcPr>
            <w:tcW w:w="2085" w:type="dxa"/>
            <w:gridSpan w:val="2"/>
            <w:vAlign w:val="top"/>
          </w:tcPr>
          <w:p>
            <w:pPr>
              <w:spacing w:line="463" w:lineRule="auto"/>
              <w:rPr>
                <w:rFonts w:ascii="Arial"/>
                <w:color w:val="000000" w:themeColor="text1"/>
                <w:sz w:val="21"/>
                <w14:textFill>
                  <w14:solidFill>
                    <w14:schemeClr w14:val="tx1"/>
                  </w14:solidFill>
                </w14:textFill>
              </w:rPr>
            </w:pPr>
          </w:p>
          <w:p>
            <w:pPr>
              <w:pStyle w:val="4"/>
              <w:spacing w:before="65" w:line="259" w:lineRule="auto"/>
              <w:ind w:left="614" w:right="606"/>
              <w:jc w:val="center"/>
              <w:rPr>
                <w:color w:val="000000" w:themeColor="text1"/>
                <w14:textFill>
                  <w14:solidFill>
                    <w14:schemeClr w14:val="tx1"/>
                  </w14:solidFill>
                </w14:textFill>
              </w:rPr>
            </w:pPr>
            <w:r>
              <w:rPr>
                <w:color w:val="000000" w:themeColor="text1"/>
                <w:spacing w:val="6"/>
                <w14:textFill>
                  <w14:solidFill>
                    <w14:schemeClr w14:val="tx1"/>
                  </w14:solidFill>
                </w14:textFill>
              </w:rPr>
              <w:t>社会保险</w:t>
            </w:r>
            <w:r>
              <w:rPr>
                <w:color w:val="000000" w:themeColor="text1"/>
                <w:spacing w:val="5"/>
                <w14:textFill>
                  <w14:solidFill>
                    <w14:schemeClr w14:val="tx1"/>
                  </w14:solidFill>
                </w14:textFill>
              </w:rPr>
              <w:t>缴费年限</w:t>
            </w:r>
          </w:p>
        </w:tc>
        <w:tc>
          <w:tcPr>
            <w:tcW w:w="960" w:type="dxa"/>
            <w:vAlign w:val="top"/>
          </w:tcPr>
          <w:p>
            <w:pPr>
              <w:spacing w:line="463" w:lineRule="auto"/>
              <w:rPr>
                <w:rFonts w:ascii="Arial"/>
                <w:color w:val="000000" w:themeColor="text1"/>
                <w:sz w:val="21"/>
                <w14:textFill>
                  <w14:solidFill>
                    <w14:schemeClr w14:val="tx1"/>
                  </w14:solidFill>
                </w14:textFill>
              </w:rPr>
            </w:pPr>
          </w:p>
          <w:p>
            <w:pPr>
              <w:pStyle w:val="4"/>
              <w:spacing w:before="65" w:line="259" w:lineRule="auto"/>
              <w:ind w:left="123" w:right="86" w:hanging="11"/>
              <w:rPr>
                <w:color w:val="000000" w:themeColor="text1"/>
                <w14:textFill>
                  <w14:solidFill>
                    <w14:schemeClr w14:val="tx1"/>
                  </w14:solidFill>
                </w14:textFill>
              </w:rPr>
            </w:pPr>
            <w:r>
              <w:rPr>
                <w:color w:val="000000" w:themeColor="text1"/>
                <w:spacing w:val="-3"/>
                <w14:textFill>
                  <w14:solidFill>
                    <w14:schemeClr w14:val="tx1"/>
                  </w14:solidFill>
                </w14:textFill>
              </w:rPr>
              <w:t>2分/险种/</w:t>
            </w:r>
            <w:r>
              <w:rPr>
                <w:color w:val="000000" w:themeColor="text1"/>
                <w:spacing w:val="-11"/>
                <w14:textFill>
                  <w14:solidFill>
                    <w14:schemeClr w14:val="tx1"/>
                  </w14:solidFill>
                </w14:textFill>
              </w:rPr>
              <w:t>每年</w:t>
            </w:r>
          </w:p>
        </w:tc>
        <w:tc>
          <w:tcPr>
            <w:tcW w:w="4590" w:type="dxa"/>
            <w:gridSpan w:val="2"/>
            <w:vAlign w:val="top"/>
          </w:tcPr>
          <w:p>
            <w:pPr>
              <w:pStyle w:val="4"/>
              <w:spacing w:before="110" w:line="249" w:lineRule="auto"/>
              <w:ind w:left="126" w:right="38"/>
              <w:rPr>
                <w:color w:val="000000" w:themeColor="text1"/>
                <w14:textFill>
                  <w14:solidFill>
                    <w14:schemeClr w14:val="tx1"/>
                  </w14:solidFill>
                </w14:textFill>
              </w:rPr>
            </w:pPr>
            <w:r>
              <w:rPr>
                <w:color w:val="000000" w:themeColor="text1"/>
                <w:spacing w:val="12"/>
                <w14:textFill>
                  <w14:solidFill>
                    <w14:schemeClr w14:val="tx1"/>
                  </w14:solidFill>
                </w14:textFill>
              </w:rPr>
              <w:t>1.在我市缴纳基本养老保险、基本医疗保险（含</w:t>
            </w:r>
            <w:r>
              <w:rPr>
                <w:color w:val="000000" w:themeColor="text1"/>
                <w:spacing w:val="11"/>
                <w14:textFill>
                  <w14:solidFill>
                    <w14:schemeClr w14:val="tx1"/>
                  </w14:solidFill>
                </w14:textFill>
              </w:rPr>
              <w:t>大病</w:t>
            </w:r>
            <w:r>
              <w:rPr>
                <w:color w:val="000000" w:themeColor="text1"/>
                <w:spacing w:val="12"/>
                <w14:textFill>
                  <w14:solidFill>
                    <w14:schemeClr w14:val="tx1"/>
                  </w14:solidFill>
                </w14:textFill>
              </w:rPr>
              <w:t>医疗保险）、失业保险、工伤保险、生育保</w:t>
            </w:r>
            <w:r>
              <w:rPr>
                <w:color w:val="000000" w:themeColor="text1"/>
                <w:spacing w:val="11"/>
                <w14:textFill>
                  <w14:solidFill>
                    <w14:schemeClr w14:val="tx1"/>
                  </w14:solidFill>
                </w14:textFill>
              </w:rPr>
              <w:t>险的，每</w:t>
            </w:r>
            <w:r>
              <w:rPr>
                <w:color w:val="000000" w:themeColor="text1"/>
                <w:spacing w:val="3"/>
                <w14:textFill>
                  <w14:solidFill>
                    <w14:schemeClr w14:val="tx1"/>
                  </w14:solidFill>
                </w14:textFill>
              </w:rPr>
              <w:t>险种满1年积2分。不足一年的按实际月份计算</w:t>
            </w:r>
            <w:r>
              <w:rPr>
                <w:color w:val="000000" w:themeColor="text1"/>
                <w:spacing w:val="2"/>
                <w14:textFill>
                  <w14:solidFill>
                    <w14:schemeClr w14:val="tx1"/>
                  </w14:solidFill>
                </w14:textFill>
              </w:rPr>
              <w:t>积分。</w:t>
            </w:r>
          </w:p>
          <w:p>
            <w:pPr>
              <w:pStyle w:val="4"/>
              <w:spacing w:before="29" w:line="245" w:lineRule="auto"/>
              <w:ind w:left="124" w:right="109" w:hanging="11"/>
              <w:rPr>
                <w:color w:val="000000" w:themeColor="text1"/>
                <w14:textFill>
                  <w14:solidFill>
                    <w14:schemeClr w14:val="tx1"/>
                  </w14:solidFill>
                </w14:textFill>
              </w:rPr>
            </w:pPr>
            <w:r>
              <w:rPr>
                <w:color w:val="000000" w:themeColor="text1"/>
                <w:spacing w:val="1"/>
                <w14:textFill>
                  <w14:solidFill>
                    <w14:schemeClr w14:val="tx1"/>
                  </w14:solidFill>
                </w14:textFill>
              </w:rPr>
              <w:t>2.每险种有效期限，以最近十年内、当年8月31日前</w:t>
            </w:r>
            <w:r>
              <w:rPr>
                <w:color w:val="000000" w:themeColor="text1"/>
                <w:spacing w:val="-2"/>
                <w14:textFill>
                  <w14:solidFill>
                    <w14:schemeClr w14:val="tx1"/>
                  </w14:solidFill>
                </w14:textFill>
              </w:rPr>
              <w:t>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9" w:hRule="atLeast"/>
        </w:trPr>
        <w:tc>
          <w:tcPr>
            <w:tcW w:w="1094" w:type="dxa"/>
            <w:vAlign w:val="top"/>
          </w:tcPr>
          <w:p>
            <w:pPr>
              <w:spacing w:line="272" w:lineRule="auto"/>
              <w:rPr>
                <w:rFonts w:ascii="Arial"/>
                <w:color w:val="000000" w:themeColor="text1"/>
                <w:sz w:val="21"/>
                <w14:textFill>
                  <w14:solidFill>
                    <w14:schemeClr w14:val="tx1"/>
                  </w14:solidFill>
                </w14:textFill>
              </w:rPr>
            </w:pPr>
          </w:p>
          <w:p>
            <w:pPr>
              <w:spacing w:line="272" w:lineRule="auto"/>
              <w:rPr>
                <w:rFonts w:ascii="Arial"/>
                <w:color w:val="000000" w:themeColor="text1"/>
                <w:sz w:val="21"/>
                <w14:textFill>
                  <w14:solidFill>
                    <w14:schemeClr w14:val="tx1"/>
                  </w14:solidFill>
                </w14:textFill>
              </w:rPr>
            </w:pPr>
          </w:p>
          <w:p>
            <w:pPr>
              <w:spacing w:line="273" w:lineRule="auto"/>
              <w:rPr>
                <w:rFonts w:ascii="Arial"/>
                <w:color w:val="000000" w:themeColor="text1"/>
                <w:sz w:val="21"/>
                <w14:textFill>
                  <w14:solidFill>
                    <w14:schemeClr w14:val="tx1"/>
                  </w14:solidFill>
                </w14:textFill>
              </w:rPr>
            </w:pPr>
          </w:p>
          <w:p>
            <w:pPr>
              <w:pStyle w:val="4"/>
              <w:spacing w:before="65" w:line="231" w:lineRule="auto"/>
              <w:ind w:left="257"/>
              <w:rPr>
                <w:color w:val="000000" w:themeColor="text1"/>
                <w14:textFill>
                  <w14:solidFill>
                    <w14:schemeClr w14:val="tx1"/>
                  </w14:solidFill>
                </w14:textFill>
              </w:rPr>
            </w:pPr>
            <w:r>
              <w:rPr>
                <w:color w:val="000000" w:themeColor="text1"/>
                <w:spacing w:val="6"/>
                <w14:textFill>
                  <w14:solidFill>
                    <w14:schemeClr w14:val="tx1"/>
                  </w14:solidFill>
                </w14:textFill>
              </w:rPr>
              <w:t>加分指标</w:t>
            </w:r>
          </w:p>
        </w:tc>
        <w:tc>
          <w:tcPr>
            <w:tcW w:w="7635" w:type="dxa"/>
            <w:gridSpan w:val="5"/>
            <w:vAlign w:val="top"/>
          </w:tcPr>
          <w:p>
            <w:pPr>
              <w:pStyle w:val="4"/>
              <w:spacing w:before="47" w:line="245" w:lineRule="auto"/>
              <w:ind w:left="116" w:right="38" w:firstLine="9"/>
              <w:rPr>
                <w:color w:val="000000" w:themeColor="text1"/>
                <w14:textFill>
                  <w14:solidFill>
                    <w14:schemeClr w14:val="tx1"/>
                  </w14:solidFill>
                </w14:textFill>
              </w:rPr>
            </w:pPr>
            <w:r>
              <w:rPr>
                <w:color w:val="000000" w:themeColor="text1"/>
                <w:spacing w:val="8"/>
                <w14:textFill>
                  <w14:solidFill>
                    <w14:schemeClr w14:val="tx1"/>
                  </w14:solidFill>
                </w14:textFill>
              </w:rPr>
              <w:t>1</w:t>
            </w:r>
            <w:r>
              <w:rPr>
                <w:rFonts w:hint="eastAsia"/>
                <w:color w:val="000000" w:themeColor="text1"/>
                <w:spacing w:val="8"/>
                <w:lang w:val="en-US" w:eastAsia="zh-CN"/>
                <w14:textFill>
                  <w14:solidFill>
                    <w14:schemeClr w14:val="tx1"/>
                  </w14:solidFill>
                </w14:textFill>
              </w:rPr>
              <w:t>.</w:t>
            </w:r>
            <w:r>
              <w:rPr>
                <w:color w:val="000000" w:themeColor="text1"/>
                <w:spacing w:val="8"/>
                <w14:textFill>
                  <w14:solidFill>
                    <w14:schemeClr w14:val="tx1"/>
                  </w14:solidFill>
                </w14:textFill>
              </w:rPr>
              <w:t>荣获珠海市（斗门区）</w:t>
            </w:r>
            <w:r>
              <w:rPr>
                <w:color w:val="000000" w:themeColor="text1"/>
                <w:spacing w:val="-74"/>
                <w14:textFill>
                  <w14:solidFill>
                    <w14:schemeClr w14:val="tx1"/>
                  </w14:solidFill>
                </w14:textFill>
              </w:rPr>
              <w:t xml:space="preserve"> </w:t>
            </w:r>
            <w:r>
              <w:rPr>
                <w:color w:val="000000" w:themeColor="text1"/>
                <w:spacing w:val="8"/>
                <w14:textFill>
                  <w14:solidFill>
                    <w14:schemeClr w14:val="tx1"/>
                  </w14:solidFill>
                </w14:textFill>
              </w:rPr>
              <w:t>“劳动模范”、“五一劳动</w:t>
            </w:r>
            <w:r>
              <w:rPr>
                <w:color w:val="000000" w:themeColor="text1"/>
                <w:spacing w:val="7"/>
                <w14:textFill>
                  <w14:solidFill>
                    <w14:schemeClr w14:val="tx1"/>
                  </w14:solidFill>
                </w14:textFill>
              </w:rPr>
              <w:t>奖章”、“三八红旗手”、“道德模范”、“见义勇为”、“珠海好人”、“斗</w:t>
            </w:r>
            <w:r>
              <w:rPr>
                <w:color w:val="000000" w:themeColor="text1"/>
                <w:spacing w:val="6"/>
                <w14:textFill>
                  <w14:solidFill>
                    <w14:schemeClr w14:val="tx1"/>
                  </w14:solidFill>
                </w14:textFill>
              </w:rPr>
              <w:t>门好人”、“最美志愿者”的，加100分。</w:t>
            </w:r>
          </w:p>
          <w:p>
            <w:pPr>
              <w:pStyle w:val="4"/>
              <w:spacing w:before="28" w:line="231" w:lineRule="auto"/>
              <w:ind w:left="113"/>
              <w:rPr>
                <w:color w:val="000000" w:themeColor="text1"/>
                <w14:textFill>
                  <w14:solidFill>
                    <w14:schemeClr w14:val="tx1"/>
                  </w14:solidFill>
                </w14:textFill>
              </w:rPr>
            </w:pPr>
            <w:r>
              <w:rPr>
                <w:color w:val="000000" w:themeColor="text1"/>
                <w:spacing w:val="5"/>
                <w14:textFill>
                  <w14:solidFill>
                    <w14:schemeClr w14:val="tx1"/>
                  </w14:solidFill>
                </w14:textFill>
              </w:rPr>
              <w:t>2</w:t>
            </w:r>
            <w:r>
              <w:rPr>
                <w:rFonts w:hint="eastAsia"/>
                <w:color w:val="000000" w:themeColor="text1"/>
                <w:spacing w:val="5"/>
                <w:lang w:val="en-US" w:eastAsia="zh-CN"/>
                <w14:textFill>
                  <w14:solidFill>
                    <w14:schemeClr w14:val="tx1"/>
                  </w14:solidFill>
                </w14:textFill>
              </w:rPr>
              <w:t>.</w:t>
            </w:r>
            <w:r>
              <w:rPr>
                <w:color w:val="000000" w:themeColor="text1"/>
                <w:spacing w:val="5"/>
                <w14:textFill>
                  <w14:solidFill>
                    <w14:schemeClr w14:val="tx1"/>
                  </w14:solidFill>
                </w14:textFill>
              </w:rPr>
              <w:t>参加珠海市无偿献血的，加15分，该项不累计。</w:t>
            </w:r>
            <w:r>
              <w:rPr>
                <w:rFonts w:hint="eastAsia"/>
                <w:color w:val="000000" w:themeColor="text1"/>
                <w:spacing w:val="5"/>
                <w14:textFill>
                  <w14:solidFill>
                    <w14:schemeClr w14:val="tx1"/>
                  </w14:solidFill>
                </w14:textFill>
              </w:rPr>
              <w:t>经珠海市推荐，荣获全国或广东省“无偿献血奉献奖”的</w:t>
            </w:r>
            <w:r>
              <w:rPr>
                <w:rFonts w:hint="eastAsia"/>
                <w:color w:val="000000" w:themeColor="text1"/>
                <w:spacing w:val="5"/>
                <w:lang w:eastAsia="zh-CN"/>
                <w14:textFill>
                  <w14:solidFill>
                    <w14:schemeClr w14:val="tx1"/>
                  </w14:solidFill>
                </w14:textFill>
              </w:rPr>
              <w:t>，</w:t>
            </w:r>
            <w:r>
              <w:rPr>
                <w:rFonts w:hint="eastAsia"/>
                <w:color w:val="000000" w:themeColor="text1"/>
                <w:spacing w:val="5"/>
                <w:lang w:val="en-US" w:eastAsia="zh-CN"/>
                <w14:textFill>
                  <w14:solidFill>
                    <w14:schemeClr w14:val="tx1"/>
                  </w14:solidFill>
                </w14:textFill>
              </w:rPr>
              <w:t>按获奖级别进行积分。具体积分标准为：</w:t>
            </w:r>
            <w:r>
              <w:rPr>
                <w:rFonts w:hint="eastAsia"/>
                <w:color w:val="000000" w:themeColor="text1"/>
                <w:spacing w:val="5"/>
                <w14:textFill>
                  <w14:solidFill>
                    <w14:schemeClr w14:val="tx1"/>
                  </w14:solidFill>
                </w14:textFill>
              </w:rPr>
              <w:t>金奖积100分，银奖积75分，铜奖积50分，</w:t>
            </w:r>
            <w:r>
              <w:rPr>
                <w:rFonts w:hint="eastAsia"/>
                <w:color w:val="000000" w:themeColor="text1"/>
                <w:spacing w:val="5"/>
                <w:lang w:val="en-US" w:eastAsia="zh-CN"/>
                <w14:textFill>
                  <w14:solidFill>
                    <w14:schemeClr w14:val="tx1"/>
                  </w14:solidFill>
                </w14:textFill>
              </w:rPr>
              <w:t>按照所获</w:t>
            </w:r>
            <w:r>
              <w:rPr>
                <w:rFonts w:hint="eastAsia"/>
                <w:color w:val="000000" w:themeColor="text1"/>
                <w:spacing w:val="5"/>
                <w14:textFill>
                  <w14:solidFill>
                    <w14:schemeClr w14:val="tx1"/>
                  </w14:solidFill>
                </w14:textFill>
              </w:rPr>
              <w:t>得的最高等级计算积分</w:t>
            </w:r>
            <w:r>
              <w:rPr>
                <w:rFonts w:hint="eastAsia"/>
                <w:color w:val="000000" w:themeColor="text1"/>
                <w:spacing w:val="5"/>
                <w:lang w:eastAsia="zh-CN"/>
                <w14:textFill>
                  <w14:solidFill>
                    <w14:schemeClr w14:val="tx1"/>
                  </w14:solidFill>
                </w14:textFill>
              </w:rPr>
              <w:t>，</w:t>
            </w:r>
            <w:r>
              <w:rPr>
                <w:rFonts w:hint="eastAsia"/>
                <w:color w:val="000000" w:themeColor="text1"/>
                <w:spacing w:val="5"/>
                <w14:textFill>
                  <w14:solidFill>
                    <w14:schemeClr w14:val="tx1"/>
                  </w14:solidFill>
                </w14:textFill>
              </w:rPr>
              <w:t>不</w:t>
            </w:r>
            <w:r>
              <w:rPr>
                <w:rFonts w:hint="eastAsia"/>
                <w:color w:val="000000" w:themeColor="text1"/>
                <w:spacing w:val="5"/>
                <w:lang w:val="en-US" w:eastAsia="zh-CN"/>
                <w14:textFill>
                  <w14:solidFill>
                    <w14:schemeClr w14:val="tx1"/>
                  </w14:solidFill>
                </w14:textFill>
              </w:rPr>
              <w:t>累计积分</w:t>
            </w:r>
            <w:r>
              <w:rPr>
                <w:rFonts w:hint="eastAsia"/>
                <w:color w:val="000000" w:themeColor="text1"/>
                <w:spacing w:val="5"/>
                <w14:textFill>
                  <w14:solidFill>
                    <w14:schemeClr w14:val="tx1"/>
                  </w14:solidFill>
                </w14:textFill>
              </w:rPr>
              <w:t>。</w:t>
            </w:r>
          </w:p>
          <w:p>
            <w:pPr>
              <w:pStyle w:val="4"/>
              <w:spacing w:before="30" w:line="246" w:lineRule="auto"/>
              <w:ind w:left="123" w:right="104" w:hanging="9"/>
              <w:rPr>
                <w:color w:val="000000" w:themeColor="text1"/>
                <w14:textFill>
                  <w14:solidFill>
                    <w14:schemeClr w14:val="tx1"/>
                  </w14:solidFill>
                </w14:textFill>
              </w:rPr>
            </w:pPr>
            <w:r>
              <w:rPr>
                <w:color w:val="000000" w:themeColor="text1"/>
                <w:spacing w:val="5"/>
                <w14:textFill>
                  <w14:solidFill>
                    <w14:schemeClr w14:val="tx1"/>
                  </w14:solidFill>
                </w14:textFill>
              </w:rPr>
              <w:t>3</w:t>
            </w:r>
            <w:r>
              <w:rPr>
                <w:rFonts w:hint="eastAsia"/>
                <w:color w:val="000000" w:themeColor="text1"/>
                <w:spacing w:val="5"/>
                <w:lang w:val="en-US" w:eastAsia="zh-CN"/>
                <w14:textFill>
                  <w14:solidFill>
                    <w14:schemeClr w14:val="tx1"/>
                  </w14:solidFill>
                </w14:textFill>
              </w:rPr>
              <w:t>.</w:t>
            </w:r>
            <w:r>
              <w:rPr>
                <w:color w:val="000000" w:themeColor="text1"/>
                <w:spacing w:val="5"/>
                <w14:textFill>
                  <w14:solidFill>
                    <w14:schemeClr w14:val="tx1"/>
                  </w14:solidFill>
                </w14:textFill>
              </w:rPr>
              <w:t>参加斗门区内志愿者服务一星加1分，二星加3分，三星加6分，四星加10分，五</w:t>
            </w:r>
            <w:r>
              <w:rPr>
                <w:color w:val="000000" w:themeColor="text1"/>
                <w:spacing w:val="-6"/>
                <w14:textFill>
                  <w14:solidFill>
                    <w14:schemeClr w14:val="tx1"/>
                  </w14:solidFill>
                </w14:textFill>
              </w:rPr>
              <w:t>星加15分。</w:t>
            </w:r>
          </w:p>
          <w:p>
            <w:pPr>
              <w:pStyle w:val="4"/>
              <w:spacing w:before="27" w:line="229" w:lineRule="auto"/>
              <w:ind w:left="109"/>
              <w:rPr>
                <w:color w:val="000000" w:themeColor="text1"/>
                <w14:textFill>
                  <w14:solidFill>
                    <w14:schemeClr w14:val="tx1"/>
                  </w14:solidFill>
                </w14:textFill>
              </w:rPr>
            </w:pPr>
            <w:r>
              <w:rPr>
                <w:color w:val="000000" w:themeColor="text1"/>
                <w:spacing w:val="8"/>
                <w14:textFill>
                  <w14:solidFill>
                    <w14:schemeClr w14:val="tx1"/>
                  </w14:solidFill>
                </w14:textFill>
              </w:rPr>
              <w:t>4</w:t>
            </w:r>
            <w:r>
              <w:rPr>
                <w:rFonts w:hint="eastAsia"/>
                <w:color w:val="000000" w:themeColor="text1"/>
                <w:spacing w:val="8"/>
                <w:lang w:val="en-US" w:eastAsia="zh-CN"/>
                <w14:textFill>
                  <w14:solidFill>
                    <w14:schemeClr w14:val="tx1"/>
                  </w14:solidFill>
                </w14:textFill>
              </w:rPr>
              <w:t>.</w:t>
            </w:r>
            <w:r>
              <w:rPr>
                <w:color w:val="000000" w:themeColor="text1"/>
                <w:spacing w:val="8"/>
                <w14:textFill>
                  <w14:solidFill>
                    <w14:schemeClr w14:val="tx1"/>
                  </w14:solidFill>
                </w14:textFill>
              </w:rPr>
              <w:t>符合《中华人民共和国退役军人保障法》的退役军人加</w:t>
            </w:r>
            <w:r>
              <w:rPr>
                <w:color w:val="000000" w:themeColor="text1"/>
                <w:spacing w:val="7"/>
                <w14:textFill>
                  <w14:solidFill>
                    <w14:schemeClr w14:val="tx1"/>
                  </w14:solidFill>
                </w14:textFill>
              </w:rPr>
              <w:t>30分。</w:t>
            </w:r>
          </w:p>
          <w:p>
            <w:pPr>
              <w:pStyle w:val="4"/>
              <w:spacing w:before="32" w:line="213" w:lineRule="auto"/>
              <w:ind w:left="114"/>
              <w:rPr>
                <w:color w:val="000000" w:themeColor="text1"/>
                <w14:textFill>
                  <w14:solidFill>
                    <w14:schemeClr w14:val="tx1"/>
                  </w14:solidFill>
                </w14:textFill>
              </w:rPr>
            </w:pPr>
            <w:r>
              <w:rPr>
                <w:color w:val="000000" w:themeColor="text1"/>
                <w:spacing w:val="8"/>
                <w14:textFill>
                  <w14:solidFill>
                    <w14:schemeClr w14:val="tx1"/>
                  </w14:solidFill>
                </w14:textFill>
              </w:rPr>
              <w:t>5</w:t>
            </w:r>
            <w:r>
              <w:rPr>
                <w:rFonts w:hint="eastAsia"/>
                <w:color w:val="000000" w:themeColor="text1"/>
                <w:spacing w:val="8"/>
                <w:lang w:val="en-US" w:eastAsia="zh-CN"/>
                <w14:textFill>
                  <w14:solidFill>
                    <w14:schemeClr w14:val="tx1"/>
                  </w14:solidFill>
                </w14:textFill>
              </w:rPr>
              <w:t>.</w:t>
            </w:r>
            <w:r>
              <w:rPr>
                <w:rFonts w:hint="eastAsia"/>
                <w:color w:val="000000" w:themeColor="text1"/>
                <w:spacing w:val="5"/>
                <w14:textFill>
                  <w14:solidFill>
                    <w14:schemeClr w14:val="tx1"/>
                  </w14:solidFill>
                </w14:textFill>
              </w:rPr>
              <w:t>当年报名截止日期前12个月内参与</w:t>
            </w:r>
            <w:r>
              <w:rPr>
                <w:rFonts w:hint="eastAsia"/>
                <w:color w:val="000000" w:themeColor="text1"/>
                <w:spacing w:val="5"/>
                <w:lang w:eastAsia="zh-CN"/>
                <w14:textFill>
                  <w14:solidFill>
                    <w14:schemeClr w14:val="tx1"/>
                  </w14:solidFill>
                </w14:textFill>
              </w:rPr>
              <w:t>“</w:t>
            </w:r>
            <w:r>
              <w:rPr>
                <w:rFonts w:hint="eastAsia"/>
                <w:color w:val="000000" w:themeColor="text1"/>
                <w:spacing w:val="5"/>
                <w14:textFill>
                  <w14:solidFill>
                    <w14:schemeClr w14:val="tx1"/>
                  </w14:solidFill>
                </w14:textFill>
              </w:rPr>
              <w:t>斗门市民文明日</w:t>
            </w:r>
            <w:r>
              <w:rPr>
                <w:rFonts w:hint="eastAsia"/>
                <w:color w:val="000000" w:themeColor="text1"/>
                <w:spacing w:val="5"/>
                <w:lang w:eastAsia="zh-CN"/>
                <w14:textFill>
                  <w14:solidFill>
                    <w14:schemeClr w14:val="tx1"/>
                  </w14:solidFill>
                </w14:textFill>
              </w:rPr>
              <w:t>”</w:t>
            </w:r>
            <w:r>
              <w:rPr>
                <w:rFonts w:hint="eastAsia"/>
                <w:color w:val="000000" w:themeColor="text1"/>
                <w:spacing w:val="5"/>
                <w14:textFill>
                  <w14:solidFill>
                    <w14:schemeClr w14:val="tx1"/>
                  </w14:solidFill>
                </w14:textFill>
              </w:rPr>
              <w:t>活动满3次及以上加2分。</w:t>
            </w:r>
          </w:p>
        </w:tc>
      </w:tr>
    </w:tbl>
    <w:p>
      <w:pPr>
        <w:keepNext w:val="0"/>
        <w:keepLines w:val="0"/>
        <w:pageBreakBefore w:val="0"/>
        <w:widowControl w:val="0"/>
        <w:kinsoku/>
        <w:wordWrap/>
        <w:overflowPunct/>
        <w:topLinePunct w:val="0"/>
        <w:autoSpaceDE/>
        <w:autoSpaceDN/>
        <w:bidi w:val="0"/>
        <w:adjustRightInd/>
        <w:snapToGrid/>
        <w:spacing w:line="360" w:lineRule="exact"/>
        <w:ind w:firstLine="421" w:firstLineChars="200"/>
        <w:jc w:val="left"/>
        <w:textAlignment w:val="auto"/>
        <w:rPr>
          <w:rFonts w:hint="eastAsia" w:ascii="仿宋" w:hAnsi="仿宋" w:eastAsia="仿宋" w:cs="仿宋"/>
          <w:b w:val="0"/>
          <w:bCs w:val="0"/>
          <w:color w:val="000000" w:themeColor="text1"/>
          <w:sz w:val="21"/>
          <w:szCs w:val="21"/>
          <w14:textFill>
            <w14:solidFill>
              <w14:schemeClr w14:val="tx1"/>
            </w14:solidFill>
          </w14:textFill>
        </w:rPr>
      </w:pPr>
      <w:r>
        <w:rPr>
          <w:rFonts w:hint="eastAsia" w:ascii="仿宋" w:hAnsi="仿宋" w:eastAsia="仿宋" w:cs="仿宋"/>
          <w:b/>
          <w:bCs/>
          <w:color w:val="000000" w:themeColor="text1"/>
          <w:sz w:val="21"/>
          <w:szCs w:val="21"/>
          <w14:textFill>
            <w14:solidFill>
              <w14:schemeClr w14:val="tx1"/>
            </w14:solidFill>
          </w14:textFill>
        </w:rPr>
        <w:t>备注：</w:t>
      </w:r>
      <w:r>
        <w:rPr>
          <w:rFonts w:hint="eastAsia" w:ascii="仿宋" w:hAnsi="仿宋" w:eastAsia="仿宋" w:cs="仿宋"/>
          <w:b w:val="0"/>
          <w:bCs w:val="0"/>
          <w:color w:val="000000" w:themeColor="text1"/>
          <w:sz w:val="21"/>
          <w:szCs w:val="21"/>
          <w14:textFill>
            <w14:solidFill>
              <w14:schemeClr w14:val="tx1"/>
            </w14:solidFill>
          </w14:textFill>
        </w:rPr>
        <w:t>各类加分必须出具相关部门证明，同类荣誉只计算一次，不累计加分。每年的积分入学录取分数线根据当年全区的招生实际情况划定。</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70459F"/>
    <w:rsid w:val="0A3568D9"/>
    <w:rsid w:val="1DAA14B9"/>
    <w:rsid w:val="2070459F"/>
    <w:rsid w:val="308405B2"/>
    <w:rsid w:val="31751BAF"/>
    <w:rsid w:val="38CF5396"/>
    <w:rsid w:val="43135B49"/>
    <w:rsid w:val="4C2050DD"/>
    <w:rsid w:val="4EE71234"/>
    <w:rsid w:val="581E1F46"/>
    <w:rsid w:val="5B775347"/>
    <w:rsid w:val="5D296EC2"/>
    <w:rsid w:val="5E7FBFE8"/>
    <w:rsid w:val="66FF50E8"/>
    <w:rsid w:val="7DF7F1E3"/>
    <w:rsid w:val="7FDF3D63"/>
    <w:rsid w:val="BFEF2913"/>
    <w:rsid w:val="DEC768B9"/>
    <w:rsid w:val="FEAF4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Table Text"/>
    <w:basedOn w:val="1"/>
    <w:semiHidden/>
    <w:qFormat/>
    <w:uiPriority w:val="0"/>
    <w:rPr>
      <w:rFonts w:ascii="仿宋" w:hAnsi="仿宋" w:eastAsia="仿宋" w:cs="仿宋"/>
      <w:sz w:val="20"/>
      <w:szCs w:val="2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3524</Words>
  <Characters>3700</Characters>
  <Lines>0</Lines>
  <Paragraphs>0</Paragraphs>
  <TotalTime>8</TotalTime>
  <ScaleCrop>false</ScaleCrop>
  <LinksUpToDate>false</LinksUpToDate>
  <CharactersWithSpaces>3806</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2025-12-04T11:59:00Z</dcterms:created>
  <dc:creator>武哥</dc:creator>
  <cp:lastModifiedBy>kylin</cp:lastModifiedBy>
  <dcterms:modified xsi:type="dcterms:W3CDTF">2026-02-11T11:42:18Z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1D940710FA6D20789AFA8B6950B7E3AA</vt:lpwstr>
  </property>
  <property fmtid="{D5CDD505-2E9C-101B-9397-08002B2CF9AE}" pid="4" name="KSOTemplateDocerSaveRecord">
    <vt:lpwstr>eyJoZGlkIjoiYjU4ZGRiYWIxNzcyMTUxZDNlNTlkZjQxYzkzZmZkN2YiLCJ1c2VySWQiOiI1MDQwNjI0MjkifQ==</vt:lpwstr>
  </property>
</Properties>
</file>